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成都市2019“蓉漂”人才荟</w:t>
      </w:r>
    </w:p>
    <w:p>
      <w:pPr>
        <w:spacing w:line="62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新津县卫健系统公开招聘</w:t>
      </w:r>
    </w:p>
    <w:p>
      <w:pPr>
        <w:spacing w:line="620" w:lineRule="exact"/>
        <w:jc w:val="center"/>
        <w:rPr>
          <w:rFonts w:hint="default" w:ascii="Times New Roman" w:hAnsi="Times New Roman" w:eastAsia="宋体" w:cs="Times New Roman"/>
          <w:kern w:val="0"/>
          <w:sz w:val="24"/>
          <w:szCs w:val="24"/>
        </w:rPr>
      </w:pPr>
      <w:r>
        <w:rPr>
          <w:rFonts w:hint="default" w:ascii="Times New Roman" w:hAnsi="Times New Roman" w:eastAsia="方正小标宋简体" w:cs="Times New Roman"/>
          <w:sz w:val="44"/>
          <w:szCs w:val="44"/>
        </w:rPr>
        <w:t>专业技术人才公告</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为提高我县医疗服务水平，全面助力“成南副中心、滨江公园城”建设，特面向高校公开招聘专业技术人才47名，作为我县卫健系统下属事业单位在编专业技术人才</w:t>
      </w:r>
      <w:r>
        <w:rPr>
          <w:rFonts w:hint="default" w:ascii="Times New Roman" w:hAnsi="Times New Roman" w:eastAsia="仿宋_GB2312" w:cs="Times New Roman"/>
          <w:sz w:val="32"/>
          <w:szCs w:val="32"/>
        </w:rPr>
        <w:t>，招聘人员按事业单位人员聘用制管理。</w:t>
      </w:r>
      <w:r>
        <w:rPr>
          <w:rFonts w:hint="default" w:ascii="Times New Roman" w:hAnsi="Times New Roman" w:eastAsia="仿宋_GB2312" w:cs="Times New Roman"/>
          <w:kern w:val="0"/>
          <w:sz w:val="32"/>
          <w:szCs w:val="32"/>
        </w:rPr>
        <w:t>现将有关事项公告如下：</w:t>
      </w:r>
    </w:p>
    <w:p>
      <w:pPr>
        <w:pStyle w:val="6"/>
        <w:spacing w:before="0" w:beforeAutospacing="0" w:after="0" w:afterAutospacing="0" w:line="580" w:lineRule="exact"/>
        <w:ind w:firstLine="678"/>
        <w:rPr>
          <w:rFonts w:hint="default" w:ascii="Times New Roman" w:hAnsi="Times New Roman"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新津县概况</w:t>
      </w:r>
    </w:p>
    <w:p>
      <w:pPr>
        <w:keepNext w:val="0"/>
        <w:keepLines w:val="0"/>
        <w:pageBreakBefore w:val="0"/>
        <w:widowControl w:val="0"/>
        <w:kinsoku/>
        <w:wordWrap/>
        <w:overflowPunct w:val="0"/>
        <w:topLinePunct w:val="0"/>
        <w:autoSpaceDE/>
        <w:autoSpaceDN/>
        <w:bidi w:val="0"/>
        <w:adjustRightInd/>
        <w:snapToGrid/>
        <w:spacing w:line="360" w:lineRule="auto"/>
        <w:ind w:firstLine="640" w:firstLineChars="200"/>
        <w:jc w:val="left"/>
        <w:textAlignment w:val="auto"/>
        <w:rPr>
          <w:rFonts w:hint="default" w:ascii="Times New Roman" w:hAnsi="Times New Roman" w:eastAsia="仿宋_GB2312" w:cs="Times New Roman"/>
          <w:color w:val="0D0D0D"/>
          <w:sz w:val="32"/>
          <w:szCs w:val="32"/>
          <w:lang w:val="en-US" w:eastAsia="zh-CN"/>
        </w:rPr>
      </w:pPr>
      <w:r>
        <w:rPr>
          <w:rFonts w:hint="default" w:ascii="Times New Roman" w:hAnsi="Times New Roman" w:eastAsia="仿宋_GB2312" w:cs="Times New Roman"/>
          <w:color w:val="0D0D0D"/>
          <w:sz w:val="32"/>
          <w:szCs w:val="32"/>
        </w:rPr>
        <w:t>新津县位于成都市南部，</w:t>
      </w:r>
      <w:r>
        <w:rPr>
          <w:rFonts w:hint="default" w:ascii="Times New Roman" w:hAnsi="Times New Roman" w:eastAsia="仿宋_GB2312" w:cs="Times New Roman"/>
          <w:color w:val="0D0D0D"/>
          <w:sz w:val="32"/>
          <w:szCs w:val="32"/>
          <w:lang w:eastAsia="zh-CN"/>
        </w:rPr>
        <w:t>形似“超级绿叶”，</w:t>
      </w:r>
      <w:r>
        <w:rPr>
          <w:rFonts w:hint="default" w:ascii="Times New Roman" w:hAnsi="Times New Roman" w:eastAsia="仿宋_GB2312" w:cs="Times New Roman"/>
          <w:color w:val="0D0D0D"/>
          <w:sz w:val="32"/>
          <w:szCs w:val="32"/>
        </w:rPr>
        <w:t>距离市委市政府24公里，距离天府新区科学城20公里，属于成都市一刻钟经济圈。距离双流国际机场18公里，天府国际机场58公里，位于双机场交通要道。地铁10号线在新津设站7座，将于2019年通车，地铁12号线和21号线也将过境新津。全域纳入成都“南拓”区域和成都高质量发展示范区，是天府新区重要组成部分。</w:t>
      </w:r>
      <w:r>
        <w:rPr>
          <w:rFonts w:hint="default" w:ascii="Times New Roman" w:hAnsi="Times New Roman" w:eastAsia="仿宋_GB2312" w:cs="Times New Roman"/>
          <w:color w:val="0D0D0D"/>
          <w:sz w:val="32"/>
          <w:szCs w:val="32"/>
          <w:lang w:val="en-US" w:eastAsia="zh-CN"/>
        </w:rPr>
        <w:t>位居四川省十强县第7位、全国中小城市投资潜力百强县市第13位、全国绿色发展百强县市第51位、全国新型城镇化质量百强县第78位。</w:t>
      </w:r>
    </w:p>
    <w:p>
      <w:pPr>
        <w:pStyle w:val="6"/>
        <w:keepNext w:val="0"/>
        <w:keepLines w:val="0"/>
        <w:pageBreakBefore w:val="0"/>
        <w:widowControl w:val="0"/>
        <w:kinsoku/>
        <w:wordWrap/>
        <w:topLinePunct w:val="0"/>
        <w:autoSpaceDE/>
        <w:autoSpaceDN/>
        <w:bidi w:val="0"/>
        <w:adjustRightInd/>
        <w:snapToGrid/>
        <w:spacing w:before="0" w:beforeAutospacing="0" w:after="0" w:afterAutospacing="0" w:line="360" w:lineRule="auto"/>
        <w:ind w:firstLine="678"/>
        <w:jc w:val="left"/>
        <w:textAlignment w:val="auto"/>
        <w:rPr>
          <w:rFonts w:hint="default" w:ascii="Times New Roman" w:hAnsi="Times New Roman" w:eastAsia="仿宋_GB2312" w:cs="Times New Roman"/>
          <w:color w:val="0D0D0D"/>
          <w:sz w:val="32"/>
          <w:szCs w:val="32"/>
        </w:rPr>
      </w:pPr>
      <w:r>
        <w:rPr>
          <w:rFonts w:hint="default" w:ascii="Times New Roman" w:hAnsi="Times New Roman" w:eastAsia="仿宋_GB2312" w:cs="Times New Roman"/>
          <w:color w:val="0D0D0D"/>
          <w:sz w:val="32"/>
          <w:szCs w:val="32"/>
          <w:lang w:val="en-US" w:eastAsia="zh-CN"/>
        </w:rPr>
        <w:t>当前，新津正依托天府新区智能制造产业园、中国</w:t>
      </w:r>
      <w:r>
        <w:rPr>
          <w:rFonts w:hint="default" w:ascii="Times New Roman" w:hAnsi="Times New Roman" w:eastAsia="仿宋_GB2312" w:cs="Times New Roman"/>
          <w:color w:val="0D0D0D"/>
          <w:sz w:val="32"/>
          <w:szCs w:val="32"/>
        </w:rPr>
        <w:t>天府农业博览园、梨花溪文化旅游区，着力构建以智能交通装备、绿色食品、智能家居、文化旅游、现代商贸商务、医美健康、博览农业、高科技农业、休闲农业为主导的现代化产业体系，推动经济高质量发展。</w:t>
      </w:r>
    </w:p>
    <w:p>
      <w:pPr>
        <w:pStyle w:val="6"/>
        <w:widowControl w:val="0"/>
        <w:spacing w:before="0" w:beforeAutospacing="0" w:after="0" w:afterAutospacing="0" w:line="600" w:lineRule="exact"/>
        <w:ind w:firstLine="678"/>
        <w:rPr>
          <w:rFonts w:hint="default" w:ascii="Times New Roman" w:hAnsi="Times New Roman" w:cs="Times New Roman"/>
          <w:sz w:val="32"/>
          <w:szCs w:val="32"/>
        </w:rPr>
      </w:pPr>
      <w:r>
        <w:rPr>
          <w:rFonts w:hint="default" w:ascii="Times New Roman" w:hAnsi="Times New Roman" w:eastAsia="黑体" w:cs="Times New Roman"/>
          <w:sz w:val="32"/>
          <w:szCs w:val="32"/>
        </w:rPr>
        <w:t>二、招聘原则及程序</w:t>
      </w:r>
    </w:p>
    <w:p>
      <w:pPr>
        <w:pStyle w:val="6"/>
        <w:widowControl w:val="0"/>
        <w:spacing w:before="0" w:beforeAutospacing="0" w:after="0" w:afterAutospacing="0" w:line="600" w:lineRule="exact"/>
        <w:ind w:firstLine="678"/>
        <w:rPr>
          <w:rFonts w:hint="default" w:ascii="Times New Roman" w:hAnsi="Times New Roman" w:cs="Times New Roman"/>
          <w:sz w:val="32"/>
          <w:szCs w:val="32"/>
        </w:rPr>
      </w:pPr>
      <w:r>
        <w:rPr>
          <w:rFonts w:hint="default" w:ascii="Times New Roman" w:hAnsi="Times New Roman" w:eastAsia="仿宋_GB2312" w:cs="Times New Roman"/>
          <w:sz w:val="32"/>
          <w:szCs w:val="32"/>
        </w:rPr>
        <w:t>坚持“公开、平等、竞争、择优”的原则，按照德才兼备的用人标准，采取报名与资格审查、笔试、面试、签订三方（双方）协议、体检、考察、公示、聘用的程序进行。</w:t>
      </w:r>
    </w:p>
    <w:p>
      <w:pPr>
        <w:spacing w:line="600" w:lineRule="exact"/>
        <w:ind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三、招聘岗位</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此次共招聘47名专业技术人才。具体岗位要求及专业条件详见附件1。专业要求依据教育部《普通高等学校本科专业目录（2012年）》、《学位授予和人才培养学科目录（教育部2018版）》</w:t>
      </w:r>
      <w:r>
        <w:rPr>
          <w:rFonts w:hint="default" w:ascii="Times New Roman" w:hAnsi="Times New Roman" w:eastAsia="仿宋_GB2312" w:cs="Times New Roman"/>
          <w:kern w:val="0"/>
          <w:sz w:val="32"/>
          <w:szCs w:val="32"/>
          <w:lang w:val="zh-TW"/>
        </w:rPr>
        <w:t>及部分高校专业目录</w:t>
      </w:r>
      <w:r>
        <w:rPr>
          <w:rFonts w:hint="default" w:ascii="Times New Roman" w:hAnsi="Times New Roman" w:eastAsia="仿宋_GB2312" w:cs="Times New Roman"/>
          <w:kern w:val="0"/>
          <w:sz w:val="32"/>
          <w:szCs w:val="32"/>
        </w:rPr>
        <w:t>。</w:t>
      </w:r>
    </w:p>
    <w:p>
      <w:pPr>
        <w:spacing w:line="600" w:lineRule="exact"/>
        <w:ind w:firstLine="640" w:firstLineChars="200"/>
        <w:jc w:val="left"/>
        <w:rPr>
          <w:rFonts w:hint="default" w:ascii="Times New Roman" w:hAnsi="Times New Roman" w:eastAsia="宋体" w:cs="Times New Roman"/>
          <w:kern w:val="0"/>
          <w:sz w:val="24"/>
          <w:szCs w:val="24"/>
        </w:rPr>
      </w:pPr>
      <w:r>
        <w:rPr>
          <w:rFonts w:hint="default" w:ascii="Times New Roman" w:hAnsi="Times New Roman" w:eastAsia="黑体" w:cs="Times New Roman"/>
          <w:kern w:val="0"/>
          <w:sz w:val="32"/>
          <w:szCs w:val="32"/>
        </w:rPr>
        <w:t>四、招聘时间及地点</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招聘时间：2019年10月31日。</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招聘地点：重庆医科大</w:t>
      </w:r>
      <w:bookmarkStart w:id="2" w:name="_GoBack"/>
      <w:r>
        <w:rPr>
          <w:rFonts w:hint="default" w:ascii="Times New Roman" w:hAnsi="Times New Roman" w:eastAsia="仿宋_GB2312" w:cs="Times New Roman"/>
          <w:kern w:val="0"/>
          <w:sz w:val="32"/>
          <w:szCs w:val="32"/>
        </w:rPr>
        <w:t>学</w:t>
      </w:r>
      <w:r>
        <w:rPr>
          <w:rFonts w:hint="eastAsia"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校本部足球场</w:t>
      </w:r>
      <w:r>
        <w:rPr>
          <w:rFonts w:hint="eastAsia" w:ascii="Times New Roman" w:hAnsi="Times New Roman" w:eastAsia="仿宋_GB2312" w:cs="Times New Roman"/>
          <w:kern w:val="0"/>
          <w:sz w:val="32"/>
          <w:szCs w:val="32"/>
        </w:rPr>
        <w:t>）</w:t>
      </w:r>
      <w:bookmarkEnd w:id="2"/>
      <w:r>
        <w:rPr>
          <w:rFonts w:hint="default" w:ascii="Times New Roman" w:hAnsi="Times New Roman" w:eastAsia="仿宋_GB2312" w:cs="Times New Roman"/>
          <w:kern w:val="0"/>
          <w:sz w:val="32"/>
          <w:szCs w:val="32"/>
        </w:rPr>
        <w:t>。</w:t>
      </w:r>
    </w:p>
    <w:p>
      <w:pPr>
        <w:spacing w:line="600" w:lineRule="exact"/>
        <w:ind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五、招聘范围及条件</w:t>
      </w:r>
    </w:p>
    <w:p>
      <w:pPr>
        <w:spacing w:line="600" w:lineRule="exact"/>
        <w:ind w:firstLine="643" w:firstLineChars="200"/>
        <w:jc w:val="left"/>
        <w:rPr>
          <w:rFonts w:hint="default" w:ascii="Times New Roman" w:hAnsi="Times New Roman" w:eastAsia="宋体" w:cs="Times New Roman"/>
          <w:kern w:val="0"/>
          <w:sz w:val="24"/>
          <w:szCs w:val="24"/>
        </w:rPr>
      </w:pPr>
      <w:r>
        <w:rPr>
          <w:rFonts w:hint="default" w:ascii="Times New Roman" w:hAnsi="Times New Roman" w:eastAsia="楷体_GB2312" w:cs="Times New Roman"/>
          <w:b/>
          <w:bCs/>
          <w:kern w:val="0"/>
          <w:sz w:val="32"/>
        </w:rPr>
        <w:t>（一）招聘对象</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详见附件1。应聘人员必须在资格审查前取得岗位所要求的国家承认学历的毕业证、学位证、职称证等证书及相关证明材料；2020年应届优秀毕业生须在2020年7月31日前取得岗位所要求的毕业证、学位证等（含2020年应届规培生，不含定向生、委培生和在职研究生）。未在规定时间内取得相关证书的，不予进入下一步招聘环节或不予聘用，责任由本人自负。</w:t>
      </w:r>
    </w:p>
    <w:p>
      <w:pPr>
        <w:spacing w:line="600" w:lineRule="exact"/>
        <w:ind w:firstLine="643" w:firstLineChars="200"/>
        <w:jc w:val="left"/>
        <w:rPr>
          <w:rFonts w:hint="default" w:ascii="Times New Roman" w:hAnsi="Times New Roman" w:eastAsia="宋体" w:cs="Times New Roman"/>
          <w:kern w:val="0"/>
          <w:sz w:val="24"/>
          <w:szCs w:val="24"/>
        </w:rPr>
      </w:pPr>
      <w:r>
        <w:rPr>
          <w:rFonts w:hint="default" w:ascii="Times New Roman" w:hAnsi="Times New Roman" w:eastAsia="楷体_GB2312" w:cs="Times New Roman"/>
          <w:b/>
          <w:bCs/>
          <w:kern w:val="0"/>
          <w:sz w:val="32"/>
        </w:rPr>
        <w:t>（二）招聘条件</w:t>
      </w:r>
    </w:p>
    <w:p>
      <w:pPr>
        <w:spacing w:line="600" w:lineRule="exact"/>
        <w:ind w:firstLine="643" w:firstLineChars="200"/>
        <w:jc w:val="left"/>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32"/>
          <w:szCs w:val="32"/>
          <w:lang w:val="en-US" w:eastAsia="zh-CN"/>
        </w:rPr>
        <w:t>1.</w:t>
      </w:r>
      <w:r>
        <w:rPr>
          <w:rFonts w:hint="default" w:ascii="Times New Roman" w:hAnsi="Times New Roman" w:eastAsia="仿宋_GB2312" w:cs="Times New Roman"/>
          <w:kern w:val="0"/>
          <w:sz w:val="32"/>
          <w:szCs w:val="32"/>
        </w:rPr>
        <w:t>具有中华人民共和国国籍，遵纪守法、品行端正，具有岗位所需知识或技能；</w:t>
      </w:r>
    </w:p>
    <w:p>
      <w:pPr>
        <w:spacing w:line="600" w:lineRule="exact"/>
        <w:ind w:firstLine="643" w:firstLineChars="200"/>
        <w:jc w:val="left"/>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32"/>
          <w:szCs w:val="32"/>
          <w:lang w:val="en-US" w:eastAsia="zh-CN"/>
        </w:rPr>
        <w:t>2.</w:t>
      </w:r>
      <w:r>
        <w:rPr>
          <w:rFonts w:hint="default" w:ascii="Times New Roman" w:hAnsi="Times New Roman" w:eastAsia="仿宋_GB2312" w:cs="Times New Roman"/>
          <w:kern w:val="0"/>
          <w:sz w:val="32"/>
          <w:szCs w:val="32"/>
        </w:rPr>
        <w:t>身体健康，具有正常履行岗位职责的身体条件，体检符合相关要求；</w:t>
      </w:r>
    </w:p>
    <w:p>
      <w:pPr>
        <w:spacing w:line="600" w:lineRule="exact"/>
        <w:ind w:firstLine="643" w:firstLineChars="200"/>
        <w:jc w:val="left"/>
        <w:rPr>
          <w:rFonts w:hint="default" w:ascii="Times New Roman" w:hAnsi="Times New Roman" w:eastAsia="宋体" w:cs="Times New Roman"/>
          <w:kern w:val="0"/>
          <w:sz w:val="24"/>
          <w:szCs w:val="24"/>
        </w:rPr>
      </w:pPr>
      <w:r>
        <w:rPr>
          <w:rFonts w:hint="default" w:ascii="Times New Roman" w:hAnsi="Times New Roman" w:eastAsia="宋体" w:cs="Times New Roman"/>
          <w:b/>
          <w:bCs/>
          <w:kern w:val="0"/>
          <w:sz w:val="32"/>
          <w:szCs w:val="32"/>
          <w:lang w:val="en-US" w:eastAsia="zh-CN"/>
        </w:rPr>
        <w:t>3.</w:t>
      </w:r>
      <w:r>
        <w:rPr>
          <w:rFonts w:hint="default" w:ascii="Times New Roman" w:hAnsi="Times New Roman" w:eastAsia="仿宋_GB2312" w:cs="Times New Roman"/>
          <w:kern w:val="0"/>
          <w:sz w:val="32"/>
          <w:szCs w:val="32"/>
          <w:lang w:val="en-US" w:eastAsia="zh-CN"/>
        </w:rPr>
        <w:t>年</w:t>
      </w:r>
      <w:r>
        <w:rPr>
          <w:rFonts w:hint="default" w:ascii="Times New Roman" w:hAnsi="Times New Roman" w:eastAsia="仿宋_GB2312" w:cs="Times New Roman"/>
          <w:kern w:val="0"/>
          <w:sz w:val="32"/>
          <w:szCs w:val="32"/>
        </w:rPr>
        <w:t>龄要求在</w:t>
      </w:r>
      <w:r>
        <w:rPr>
          <w:rFonts w:hint="default" w:ascii="Times New Roman" w:hAnsi="Times New Roman" w:eastAsia="宋体" w:cs="Times New Roman"/>
          <w:kern w:val="0"/>
          <w:sz w:val="32"/>
          <w:szCs w:val="32"/>
        </w:rPr>
        <w:t>1984</w:t>
      </w:r>
      <w:r>
        <w:rPr>
          <w:rFonts w:hint="default" w:ascii="Times New Roman" w:hAnsi="Times New Roman" w:eastAsia="仿宋_GB2312" w:cs="Times New Roman"/>
          <w:kern w:val="0"/>
          <w:sz w:val="32"/>
          <w:szCs w:val="32"/>
        </w:rPr>
        <w:t>年</w:t>
      </w:r>
      <w:r>
        <w:rPr>
          <w:rFonts w:hint="default" w:ascii="Times New Roman" w:hAnsi="Times New Roman" w:eastAsia="宋体" w:cs="Times New Roman"/>
          <w:kern w:val="0"/>
          <w:sz w:val="32"/>
          <w:szCs w:val="32"/>
        </w:rPr>
        <w:t>1</w:t>
      </w:r>
      <w:r>
        <w:rPr>
          <w:rFonts w:hint="default" w:ascii="Times New Roman" w:hAnsi="Times New Roman" w:eastAsia="仿宋_GB2312" w:cs="Times New Roman"/>
          <w:kern w:val="0"/>
          <w:sz w:val="32"/>
          <w:szCs w:val="32"/>
        </w:rPr>
        <w:t>月</w:t>
      </w:r>
      <w:r>
        <w:rPr>
          <w:rFonts w:hint="default" w:ascii="Times New Roman" w:hAnsi="Times New Roman" w:eastAsia="宋体" w:cs="Times New Roman"/>
          <w:kern w:val="0"/>
          <w:sz w:val="32"/>
          <w:szCs w:val="32"/>
        </w:rPr>
        <w:t>1</w:t>
      </w:r>
      <w:r>
        <w:rPr>
          <w:rFonts w:hint="default" w:ascii="Times New Roman" w:hAnsi="Times New Roman" w:eastAsia="仿宋_GB2312" w:cs="Times New Roman"/>
          <w:kern w:val="0"/>
          <w:sz w:val="32"/>
          <w:szCs w:val="32"/>
        </w:rPr>
        <w:t>日及以后出生。报考乡镇卫生事业单位，并取得相应专业中级及以上职称可放宽到45周岁（1974年1月1日及以后出生）。</w:t>
      </w:r>
    </w:p>
    <w:p>
      <w:pPr>
        <w:spacing w:line="600" w:lineRule="exact"/>
        <w:ind w:firstLine="643" w:firstLineChars="200"/>
        <w:jc w:val="left"/>
        <w:rPr>
          <w:rFonts w:hint="default" w:ascii="Times New Roman" w:hAnsi="Times New Roman" w:eastAsia="宋体" w:cs="Times New Roman"/>
          <w:kern w:val="0"/>
          <w:sz w:val="24"/>
          <w:szCs w:val="24"/>
        </w:rPr>
      </w:pPr>
      <w:r>
        <w:rPr>
          <w:rFonts w:hint="default" w:ascii="Times New Roman" w:hAnsi="Times New Roman" w:eastAsia="仿宋_GB2312" w:cs="Times New Roman"/>
          <w:b/>
          <w:bCs/>
          <w:kern w:val="0"/>
          <w:sz w:val="32"/>
        </w:rPr>
        <w:t>有下列条件之一者，不得应聘：</w:t>
      </w:r>
    </w:p>
    <w:p>
      <w:pPr>
        <w:spacing w:after="11" w:line="360" w:lineRule="auto"/>
        <w:ind w:left="631"/>
        <w:jc w:val="left"/>
        <w:rPr>
          <w:rFonts w:hint="default" w:ascii="Times New Roman" w:hAnsi="Times New Roman" w:eastAsia="仿宋_GB2312" w:cs="Times New Roman"/>
          <w:sz w:val="32"/>
          <w:szCs w:val="32"/>
        </w:rPr>
      </w:pPr>
      <w:r>
        <w:rPr>
          <w:rFonts w:hint="default" w:ascii="Times New Roman" w:hAnsi="Times New Roman" w:eastAsia="宋体" w:cs="Times New Roman"/>
          <w:b/>
          <w:bCs/>
          <w:kern w:val="0"/>
          <w:sz w:val="32"/>
          <w:szCs w:val="32"/>
          <w:lang w:val="en-US" w:eastAsia="zh-CN"/>
        </w:rPr>
        <w:t>1.</w:t>
      </w:r>
      <w:r>
        <w:rPr>
          <w:rFonts w:hint="default" w:ascii="Times New Roman" w:hAnsi="Times New Roman" w:eastAsia="仿宋_GB2312" w:cs="Times New Roman"/>
          <w:sz w:val="32"/>
          <w:szCs w:val="32"/>
        </w:rPr>
        <w:t>曾因犯罪受过刑事处罚的；</w:t>
      </w:r>
    </w:p>
    <w:p>
      <w:pPr>
        <w:spacing w:after="11" w:line="360" w:lineRule="auto"/>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宋体" w:cs="Times New Roman"/>
          <w:b/>
          <w:bCs/>
          <w:kern w:val="0"/>
          <w:sz w:val="32"/>
          <w:szCs w:val="32"/>
          <w:lang w:val="en-US" w:eastAsia="zh-CN"/>
        </w:rPr>
        <w:t>2.</w:t>
      </w:r>
      <w:r>
        <w:rPr>
          <w:rFonts w:hint="default" w:ascii="Times New Roman" w:hAnsi="Times New Roman" w:eastAsia="仿宋_GB2312" w:cs="Times New Roman"/>
          <w:sz w:val="32"/>
          <w:szCs w:val="32"/>
        </w:rPr>
        <w:t>曾被开除中共党籍、开除公职的；</w:t>
      </w:r>
    </w:p>
    <w:p>
      <w:pPr>
        <w:spacing w:after="11" w:line="360" w:lineRule="auto"/>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宋体" w:cs="Times New Roman"/>
          <w:b/>
          <w:bCs/>
          <w:kern w:val="0"/>
          <w:sz w:val="32"/>
          <w:szCs w:val="32"/>
          <w:lang w:val="en-US" w:eastAsia="zh-CN"/>
        </w:rPr>
        <w:t>3.</w:t>
      </w:r>
      <w:r>
        <w:rPr>
          <w:rFonts w:hint="default" w:ascii="Times New Roman" w:hAnsi="Times New Roman" w:eastAsia="仿宋_GB2312" w:cs="Times New Roman"/>
          <w:sz w:val="32"/>
          <w:szCs w:val="32"/>
        </w:rPr>
        <w:t>有违法、违纪行为正在接受审查的；</w:t>
      </w:r>
    </w:p>
    <w:p>
      <w:pPr>
        <w:spacing w:after="11" w:line="360" w:lineRule="auto"/>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宋体" w:cs="Times New Roman"/>
          <w:b/>
          <w:bCs/>
          <w:kern w:val="0"/>
          <w:sz w:val="32"/>
          <w:szCs w:val="32"/>
          <w:lang w:val="en-US" w:eastAsia="zh-CN"/>
        </w:rPr>
        <w:t>4.</w:t>
      </w:r>
      <w:r>
        <w:rPr>
          <w:rFonts w:hint="default" w:ascii="Times New Roman" w:hAnsi="Times New Roman" w:eastAsia="仿宋_GB2312" w:cs="Times New Roman"/>
          <w:sz w:val="32"/>
          <w:szCs w:val="32"/>
        </w:rPr>
        <w:t>尚未解除党纪、政纪处分的；</w:t>
      </w:r>
    </w:p>
    <w:p>
      <w:pPr>
        <w:pStyle w:val="6"/>
        <w:widowControl w:val="0"/>
        <w:spacing w:before="0" w:beforeAutospacing="0" w:after="0" w:afterAutospacing="0" w:line="360" w:lineRule="auto"/>
        <w:ind w:firstLine="643" w:firstLineChars="200"/>
        <w:jc w:val="both"/>
        <w:rPr>
          <w:rFonts w:hint="default" w:ascii="Times New Roman" w:hAnsi="Times New Roman" w:eastAsia="仿宋_GB2312" w:cs="Times New Roman"/>
          <w:sz w:val="32"/>
          <w:szCs w:val="32"/>
        </w:rPr>
      </w:pPr>
      <w:r>
        <w:rPr>
          <w:rFonts w:hint="default" w:ascii="Times New Roman" w:hAnsi="Times New Roman" w:eastAsia="宋体" w:cs="Times New Roman"/>
          <w:b/>
          <w:bCs/>
          <w:kern w:val="0"/>
          <w:sz w:val="32"/>
          <w:szCs w:val="32"/>
          <w:lang w:val="en-US" w:eastAsia="zh-CN" w:bidi="ar-SA"/>
        </w:rPr>
        <w:t>5.</w:t>
      </w:r>
      <w:r>
        <w:rPr>
          <w:rFonts w:hint="default" w:ascii="Times New Roman" w:hAnsi="Times New Roman" w:eastAsia="仿宋_GB2312" w:cs="Times New Roman"/>
          <w:sz w:val="32"/>
          <w:szCs w:val="32"/>
        </w:rPr>
        <w:t>按照《关于加快推进失信被执行人信用监督、警示和惩戒机制建设的意见》规定，由人民法院通过司法程序认定的失信被执行人；</w:t>
      </w:r>
    </w:p>
    <w:p>
      <w:pPr>
        <w:spacing w:line="600" w:lineRule="exact"/>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宋体" w:cs="Times New Roman"/>
          <w:b/>
          <w:bCs/>
          <w:kern w:val="0"/>
          <w:sz w:val="32"/>
          <w:szCs w:val="32"/>
          <w:lang w:val="en-US" w:eastAsia="zh-CN" w:bidi="ar-SA"/>
        </w:rPr>
        <w:t>6.</w:t>
      </w:r>
      <w:r>
        <w:rPr>
          <w:rFonts w:hint="default" w:ascii="Times New Roman" w:hAnsi="Times New Roman" w:eastAsia="仿宋_GB2312" w:cs="Times New Roman"/>
          <w:sz w:val="32"/>
          <w:szCs w:val="32"/>
        </w:rPr>
        <w:t>法律法规等规定的其他不能报考事业单位的。</w:t>
      </w:r>
    </w:p>
    <w:p>
      <w:pPr>
        <w:spacing w:line="600" w:lineRule="exact"/>
        <w:ind w:firstLine="640" w:firstLineChars="20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六、招聘流程</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次公开招聘按照《成都市事业单位公开招聘工作人员办法》（成人社发〔2016〕49号）及《成都市人力资源和社会保障局关于卫生事业单位考核招聘急需紧缺卫生专业技术人员的通知》（成人社发〔2019〕3号）规定执行，包括公布招聘信息、报名、资格审查、笔试、面试、签订协议、体检、考察、公示、聘用等程序。</w:t>
      </w:r>
    </w:p>
    <w:p>
      <w:pPr>
        <w:spacing w:line="600" w:lineRule="exact"/>
        <w:ind w:firstLine="643" w:firstLineChars="200"/>
        <w:jc w:val="left"/>
        <w:rPr>
          <w:rFonts w:hint="default" w:ascii="Times New Roman" w:hAnsi="Times New Roman" w:eastAsia="楷体_GB2312" w:cs="Times New Roman"/>
          <w:kern w:val="0"/>
          <w:sz w:val="24"/>
          <w:szCs w:val="24"/>
        </w:rPr>
      </w:pPr>
      <w:r>
        <w:rPr>
          <w:rFonts w:hint="default" w:ascii="Times New Roman" w:hAnsi="Times New Roman" w:eastAsia="楷体_GB2312" w:cs="Times New Roman"/>
          <w:b/>
          <w:bCs/>
          <w:kern w:val="0"/>
          <w:sz w:val="32"/>
        </w:rPr>
        <w:t>（一）报名</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报名分为网络报名和现场报名。</w:t>
      </w:r>
    </w:p>
    <w:p>
      <w:pPr>
        <w:spacing w:line="600" w:lineRule="exact"/>
        <w:ind w:firstLine="643" w:firstLineChars="200"/>
        <w:jc w:val="left"/>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kern w:val="0"/>
          <w:sz w:val="32"/>
          <w:szCs w:val="32"/>
        </w:rPr>
        <w:t>1</w:t>
      </w:r>
      <w:r>
        <w:rPr>
          <w:rFonts w:hint="default" w:ascii="Times New Roman" w:hAnsi="Times New Roman" w:eastAsia="仿宋_GB2312" w:cs="Times New Roman"/>
          <w:b/>
          <w:bCs/>
          <w:kern w:val="0"/>
          <w:sz w:val="32"/>
          <w:szCs w:val="32"/>
          <w:lang w:val="en-US" w:eastAsia="zh-CN" w:bidi="ar-SA"/>
        </w:rPr>
        <w:t>.</w:t>
      </w:r>
      <w:r>
        <w:rPr>
          <w:rFonts w:hint="default" w:ascii="Times New Roman" w:hAnsi="Times New Roman" w:eastAsia="仿宋_GB2312" w:cs="Times New Roman"/>
          <w:b/>
          <w:bCs/>
          <w:kern w:val="0"/>
          <w:sz w:val="32"/>
          <w:szCs w:val="32"/>
        </w:rPr>
        <w:t>网络投递：</w:t>
      </w:r>
    </w:p>
    <w:p>
      <w:pPr>
        <w:spacing w:line="600" w:lineRule="exact"/>
        <w:ind w:firstLine="640" w:firstLineChars="200"/>
        <w:jc w:val="left"/>
        <w:rPr>
          <w:rFonts w:hint="default" w:ascii="Times New Roman" w:hAnsi="Times New Roman" w:eastAsia="宋体" w:cs="Times New Roman"/>
          <w:kern w:val="0"/>
          <w:sz w:val="32"/>
          <w:szCs w:val="32"/>
        </w:rPr>
      </w:pPr>
      <w:r>
        <w:rPr>
          <w:rFonts w:hint="default" w:ascii="Times New Roman" w:hAnsi="Times New Roman" w:eastAsia="仿宋_GB2312" w:cs="Times New Roman"/>
          <w:kern w:val="0"/>
          <w:sz w:val="32"/>
          <w:szCs w:val="32"/>
        </w:rPr>
        <w:t>发送至邮箱：</w:t>
      </w:r>
      <w:r>
        <w:rPr>
          <w:rFonts w:hint="default" w:ascii="Times New Roman" w:hAnsi="Times New Roman" w:eastAsia="仿宋_GB2312" w:cs="Times New Roman"/>
          <w:sz w:val="32"/>
          <w:szCs w:val="32"/>
        </w:rPr>
        <w:t>3523920289</w:t>
      </w:r>
      <w:r>
        <w:rPr>
          <w:rFonts w:hint="default" w:ascii="Times New Roman" w:hAnsi="Times New Roman" w:eastAsia="宋体" w:cs="Times New Roman"/>
          <w:kern w:val="0"/>
          <w:sz w:val="32"/>
          <w:szCs w:val="32"/>
        </w:rPr>
        <w:t>@qq.com</w:t>
      </w:r>
    </w:p>
    <w:p>
      <w:pPr>
        <w:pStyle w:val="6"/>
        <w:widowControl w:val="0"/>
        <w:shd w:val="clear" w:color="auto" w:fill="FFFFFF"/>
        <w:spacing w:before="0" w:beforeAutospacing="0" w:after="0" w:afterAutospacing="0" w:line="600" w:lineRule="exact"/>
        <w:ind w:firstLine="640" w:firstLineChars="200"/>
        <w:textAlignment w:val="top"/>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网络投递截止时间：2019年10月30日19:00。</w:t>
      </w:r>
    </w:p>
    <w:p>
      <w:pPr>
        <w:spacing w:line="600" w:lineRule="exact"/>
        <w:ind w:firstLine="643" w:firstLineChars="200"/>
        <w:jc w:val="left"/>
        <w:rPr>
          <w:rFonts w:hint="default" w:ascii="Times New Roman" w:hAnsi="Times New Roman" w:eastAsia="仿宋_GB2312" w:cs="Times New Roman"/>
          <w:b/>
          <w:bCs/>
          <w:kern w:val="0"/>
          <w:sz w:val="32"/>
          <w:szCs w:val="24"/>
        </w:rPr>
      </w:pPr>
      <w:r>
        <w:rPr>
          <w:rFonts w:hint="default" w:ascii="Times New Roman" w:hAnsi="Times New Roman" w:eastAsia="仿宋_GB2312" w:cs="Times New Roman"/>
          <w:b/>
          <w:bCs/>
          <w:kern w:val="0"/>
          <w:sz w:val="32"/>
          <w:szCs w:val="24"/>
        </w:rPr>
        <w:t>2.现场投递：</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现场投递截止时间：</w:t>
      </w:r>
      <w:r>
        <w:rPr>
          <w:rFonts w:hint="default" w:ascii="Times New Roman" w:hAnsi="Times New Roman" w:eastAsia="仿宋_GB2312" w:cs="Times New Roman"/>
          <w:sz w:val="32"/>
          <w:szCs w:val="32"/>
        </w:rPr>
        <w:t>2019年10月31日12:00。</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联系人：陈老师     联系电话：15882188110</w:t>
      </w:r>
    </w:p>
    <w:p>
      <w:pPr>
        <w:spacing w:line="600" w:lineRule="exact"/>
        <w:ind w:firstLine="643" w:firstLineChars="200"/>
        <w:jc w:val="left"/>
        <w:rPr>
          <w:rFonts w:hint="default" w:ascii="Times New Roman" w:hAnsi="Times New Roman" w:eastAsia="仿宋_GB2312" w:cs="Times New Roman"/>
          <w:b/>
          <w:bCs/>
          <w:kern w:val="0"/>
          <w:sz w:val="32"/>
          <w:szCs w:val="24"/>
        </w:rPr>
      </w:pPr>
      <w:r>
        <w:rPr>
          <w:rFonts w:hint="default" w:ascii="Times New Roman" w:hAnsi="Times New Roman" w:eastAsia="仿宋_GB2312" w:cs="Times New Roman"/>
          <w:b/>
          <w:bCs/>
          <w:kern w:val="0"/>
          <w:sz w:val="32"/>
          <w:szCs w:val="24"/>
        </w:rPr>
        <w:t>3.报名所需资料：</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（1）《四川省成都市新津县卫健系统公开招聘专业技术人才报名登记表》（电脑打印版，且粘贴1寸或2寸证件照）。</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（2）身份证原件和复印件。</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（3）毕业证、学位证、岗位资质证原件及复印件。</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（4）规培生须提供国家或省级卫生行政部门颁发的《住院医师规范化培训合格证书》原件和复印件两份。</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（5）其他相关佐证材料。</w:t>
      </w:r>
    </w:p>
    <w:p>
      <w:pPr>
        <w:spacing w:line="600" w:lineRule="exact"/>
        <w:ind w:firstLine="643"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24"/>
        </w:rPr>
        <w:t>4.相关要求：</w:t>
      </w:r>
      <w:r>
        <w:rPr>
          <w:rFonts w:hint="default" w:ascii="Times New Roman" w:hAnsi="Times New Roman" w:eastAsia="仿宋_GB2312" w:cs="Times New Roman"/>
          <w:kern w:val="0"/>
          <w:sz w:val="32"/>
          <w:szCs w:val="32"/>
        </w:rPr>
        <w:t>网络报名所需资料的证件及资质证等材料均为彩色扫描件，报名文件名统一命名为“学校名称-姓名-专业-报考岗位及代码”；现场报名需准备以上报名材料各两份。</w:t>
      </w:r>
      <w:r>
        <w:rPr>
          <w:rFonts w:hint="default" w:ascii="Times New Roman" w:hAnsi="Times New Roman" w:eastAsia="仿宋_GB2312" w:cs="Times New Roman"/>
          <w:b/>
          <w:bCs/>
          <w:kern w:val="0"/>
          <w:sz w:val="32"/>
          <w:szCs w:val="32"/>
        </w:rPr>
        <w:t>每位考生仅限报一个招聘岗位。</w:t>
      </w:r>
      <w:r>
        <w:rPr>
          <w:rFonts w:hint="eastAsia" w:ascii="Times New Roman" w:hAnsi="Times New Roman" w:eastAsia="仿宋_GB2312" w:cs="Times New Roman"/>
          <w:kern w:val="0"/>
          <w:sz w:val="32"/>
          <w:szCs w:val="32"/>
          <w:lang w:eastAsia="zh-CN"/>
        </w:rPr>
        <w:t>考生</w:t>
      </w:r>
      <w:r>
        <w:rPr>
          <w:rFonts w:hint="default" w:ascii="Times New Roman" w:hAnsi="Times New Roman" w:eastAsia="仿宋_GB2312" w:cs="Times New Roman"/>
          <w:kern w:val="0"/>
          <w:sz w:val="32"/>
          <w:szCs w:val="32"/>
        </w:rPr>
        <w:t>所提供的报名信息与材料，应与报考岗位所要求的学历、专业、年龄等条件和要求相符；因不符而被取消报考资格，责任由</w:t>
      </w:r>
      <w:r>
        <w:rPr>
          <w:rFonts w:hint="eastAsia" w:ascii="Times New Roman" w:hAnsi="Times New Roman" w:eastAsia="仿宋_GB2312" w:cs="Times New Roman"/>
          <w:kern w:val="0"/>
          <w:sz w:val="32"/>
          <w:szCs w:val="32"/>
          <w:lang w:eastAsia="zh-CN"/>
        </w:rPr>
        <w:t>考生</w:t>
      </w:r>
      <w:r>
        <w:rPr>
          <w:rFonts w:hint="default" w:ascii="Times New Roman" w:hAnsi="Times New Roman" w:eastAsia="仿宋_GB2312" w:cs="Times New Roman"/>
          <w:kern w:val="0"/>
          <w:sz w:val="32"/>
          <w:szCs w:val="32"/>
        </w:rPr>
        <w:t>自负。</w:t>
      </w:r>
    </w:p>
    <w:p>
      <w:pPr>
        <w:spacing w:line="600" w:lineRule="exact"/>
        <w:ind w:firstLine="643" w:firstLineChars="200"/>
        <w:jc w:val="left"/>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（三）资格审查</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按照岗位专业条件、学历学位条件及其他要求进行资格条件审查。</w:t>
      </w:r>
    </w:p>
    <w:p>
      <w:pPr>
        <w:spacing w:line="600" w:lineRule="exact"/>
        <w:ind w:firstLine="643" w:firstLineChars="200"/>
        <w:jc w:val="left"/>
        <w:rPr>
          <w:rFonts w:hint="default" w:ascii="Times New Roman" w:hAnsi="Times New Roman" w:eastAsia="仿宋_GB2312" w:cs="Times New Roman"/>
          <w:b/>
          <w:bCs/>
          <w:kern w:val="0"/>
          <w:sz w:val="32"/>
          <w:szCs w:val="32"/>
        </w:rPr>
      </w:pPr>
      <w:r>
        <w:rPr>
          <w:rFonts w:hint="default" w:ascii="Times New Roman" w:hAnsi="Times New Roman" w:eastAsia="仿宋_GB2312" w:cs="Times New Roman"/>
          <w:b/>
          <w:bCs/>
          <w:sz w:val="32"/>
          <w:szCs w:val="32"/>
        </w:rPr>
        <w:t>资格审查工作将贯穿公开招聘的全过程，任何阶段如发现不符合应聘资格条件与要求、弄虚作假或故意隐瞒真实情况者，将随时取消考核或聘用资格，所造成的一切损失由应聘人员本人承担。</w:t>
      </w:r>
    </w:p>
    <w:p>
      <w:pPr>
        <w:spacing w:line="600" w:lineRule="exact"/>
        <w:ind w:firstLine="643" w:firstLineChars="200"/>
        <w:jc w:val="left"/>
        <w:rPr>
          <w:rFonts w:hint="default" w:ascii="Times New Roman" w:hAnsi="Times New Roman" w:eastAsia="楷体_GB2312" w:cs="Times New Roman"/>
          <w:b/>
          <w:kern w:val="0"/>
          <w:sz w:val="32"/>
          <w:szCs w:val="32"/>
        </w:rPr>
      </w:pPr>
      <w:r>
        <w:rPr>
          <w:rFonts w:hint="default" w:ascii="Times New Roman" w:hAnsi="Times New Roman" w:eastAsia="楷体_GB2312" w:cs="Times New Roman"/>
          <w:b/>
          <w:kern w:val="0"/>
          <w:sz w:val="32"/>
          <w:szCs w:val="32"/>
        </w:rPr>
        <w:t>（四）考试</w:t>
      </w:r>
    </w:p>
    <w:p>
      <w:pPr>
        <w:pStyle w:val="3"/>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同一招聘岗位的招聘人数与报名人数之比不低于1∶3方可开考，达不到上述比例的，按照《成都市事业单位公开招聘工作人员办法》第二十条规定办理。符合《成都市人力资源和社会保障局关于卫生事业单位考核招聘急需紧缺卫生专业技术人员的通知》（成人社发〔2019〕3号）招聘对象范围的不设开考比例。</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考试采取笔试加面试方式进行，考试总成绩=笔试成绩×40%+面试成绩×60%。</w:t>
      </w:r>
    </w:p>
    <w:p>
      <w:pPr>
        <w:spacing w:line="600" w:lineRule="exact"/>
        <w:ind w:firstLine="643" w:firstLineChars="200"/>
        <w:jc w:val="left"/>
        <w:rPr>
          <w:rFonts w:hint="default" w:ascii="Times New Roman" w:hAnsi="Times New Roman" w:eastAsia="仿宋_GB2312" w:cs="Times New Roman"/>
          <w:b/>
          <w:kern w:val="0"/>
          <w:sz w:val="32"/>
          <w:szCs w:val="32"/>
        </w:rPr>
      </w:pPr>
      <w:r>
        <w:rPr>
          <w:rFonts w:hint="default" w:ascii="Times New Roman" w:hAnsi="Times New Roman" w:eastAsia="仿宋_GB2312" w:cs="Times New Roman"/>
          <w:b/>
          <w:kern w:val="0"/>
          <w:sz w:val="32"/>
          <w:szCs w:val="32"/>
        </w:rPr>
        <w:t>1.笔试。</w:t>
      </w:r>
    </w:p>
    <w:p>
      <w:pPr>
        <w:spacing w:line="600" w:lineRule="exact"/>
        <w:ind w:firstLine="643" w:firstLineChars="200"/>
        <w:jc w:val="left"/>
        <w:rPr>
          <w:rFonts w:hint="default" w:ascii="Times New Roman" w:hAnsi="Times New Roman" w:eastAsia="仿宋_GB2312" w:cs="Times New Roman"/>
          <w:kern w:val="0"/>
          <w:sz w:val="32"/>
          <w:szCs w:val="32"/>
        </w:rPr>
      </w:pPr>
      <w:r>
        <w:rPr>
          <w:rFonts w:ascii="Times New Roman" w:hAnsi="Times New Roman" w:eastAsia="仿宋_GB2312" w:cs="Times New Roman"/>
          <w:b/>
          <w:bCs/>
          <w:color w:val="auto"/>
          <w:kern w:val="0"/>
          <w:sz w:val="32"/>
          <w:szCs w:val="32"/>
          <w:highlight w:val="none"/>
        </w:rPr>
        <w:t>参加笔试人员需带上个人身份证、纸质版《</w:t>
      </w:r>
      <w:r>
        <w:rPr>
          <w:rFonts w:hint="eastAsia" w:ascii="Times New Roman" w:hAnsi="Times New Roman" w:eastAsia="仿宋_GB2312" w:cs="Times New Roman"/>
          <w:b/>
          <w:bCs/>
          <w:color w:val="auto"/>
          <w:kern w:val="0"/>
          <w:sz w:val="32"/>
          <w:szCs w:val="32"/>
          <w:highlight w:val="none"/>
        </w:rPr>
        <w:t>四川省成都市新津县卫健系统公开招聘专业技术人才报名登记表</w:t>
      </w:r>
      <w:r>
        <w:rPr>
          <w:rFonts w:ascii="Times New Roman" w:hAnsi="Times New Roman" w:eastAsia="仿宋_GB2312" w:cs="Times New Roman"/>
          <w:b/>
          <w:bCs/>
          <w:color w:val="auto"/>
          <w:kern w:val="0"/>
          <w:sz w:val="32"/>
          <w:szCs w:val="32"/>
          <w:highlight w:val="none"/>
        </w:rPr>
        <w:t>》（贴近期1寸或2寸证件照片）及简历。</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按照岗位要求进行资格条件审查。初审合格进入笔试环节。</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笔试时间及地点：以电话形式另行通知。</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笔试方式：现场笔试，</w:t>
      </w:r>
      <w:r>
        <w:rPr>
          <w:rFonts w:hint="default" w:ascii="Times New Roman" w:hAnsi="Times New Roman" w:eastAsia="仿宋_GB2312" w:cs="Times New Roman"/>
          <w:sz w:val="32"/>
          <w:szCs w:val="32"/>
        </w:rPr>
        <w:t>卫生类笔试科目为《医学基础知识》；财务类笔试科目为《财务基础知识》</w:t>
      </w:r>
      <w:r>
        <w:rPr>
          <w:rFonts w:hint="default" w:ascii="Times New Roman" w:hAnsi="Times New Roman" w:eastAsia="仿宋_GB2312" w:cs="Times New Roman"/>
          <w:kern w:val="0"/>
          <w:sz w:val="32"/>
          <w:szCs w:val="32"/>
        </w:rPr>
        <w:t>。笔试成绩满分为100分，笔试成绩60分（含60分）以上者进入面试。</w:t>
      </w:r>
    </w:p>
    <w:p>
      <w:pPr>
        <w:spacing w:line="600" w:lineRule="exact"/>
        <w:ind w:firstLine="643" w:firstLineChars="200"/>
        <w:jc w:val="left"/>
        <w:rPr>
          <w:rFonts w:hint="default" w:ascii="Times New Roman" w:hAnsi="Times New Roman" w:eastAsia="宋体" w:cs="Times New Roman"/>
          <w:kern w:val="0"/>
          <w:sz w:val="24"/>
          <w:szCs w:val="24"/>
        </w:rPr>
      </w:pPr>
      <w:r>
        <w:rPr>
          <w:rFonts w:hint="default" w:ascii="Times New Roman" w:hAnsi="Times New Roman" w:eastAsia="楷体_GB2312" w:cs="Times New Roman"/>
          <w:b/>
          <w:bCs/>
          <w:kern w:val="0"/>
          <w:sz w:val="32"/>
        </w:rPr>
        <w:t>2.</w:t>
      </w:r>
      <w:r>
        <w:rPr>
          <w:rFonts w:hint="default" w:ascii="Times New Roman" w:hAnsi="Times New Roman" w:eastAsia="仿宋_GB2312" w:cs="Times New Roman"/>
          <w:b/>
          <w:bCs/>
          <w:kern w:val="0"/>
          <w:sz w:val="32"/>
        </w:rPr>
        <w:t>面试</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同一招聘岗位招聘人数与面试考生人数之比不低于1∶2，达不到上述比例的，按照《成都市事业单位公开招聘工作人员办法》第二十六条规定办理。符合《成都市人力资源和社会保障局关于卫生事业单位考核招聘急需紧缺卫生专业技术人员的通知》（成人社发〔2019〕3号）招聘对象范围的不设面试比例。</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面试以半结构化面试方式进行，面试成绩满分为100分。面试成绩低于70分的不进入下一个招聘环节，且不予聘用。面试具体时间、地点另行通知。</w:t>
      </w:r>
    </w:p>
    <w:p>
      <w:pPr>
        <w:spacing w:line="600" w:lineRule="exact"/>
        <w:ind w:firstLine="643" w:firstLineChars="200"/>
        <w:jc w:val="left"/>
        <w:rPr>
          <w:rFonts w:hint="default" w:ascii="Times New Roman" w:hAnsi="Times New Roman" w:eastAsia="宋体" w:cs="Times New Roman"/>
          <w:kern w:val="0"/>
          <w:sz w:val="24"/>
          <w:szCs w:val="24"/>
        </w:rPr>
      </w:pPr>
      <w:r>
        <w:rPr>
          <w:rFonts w:hint="default" w:ascii="Times New Roman" w:hAnsi="Times New Roman" w:eastAsia="楷体_GB2312" w:cs="Times New Roman"/>
          <w:b/>
          <w:bCs/>
          <w:kern w:val="0"/>
          <w:sz w:val="32"/>
        </w:rPr>
        <w:t>（五）</w:t>
      </w:r>
      <w:r>
        <w:rPr>
          <w:rFonts w:hint="default" w:ascii="Times New Roman" w:hAnsi="Times New Roman" w:eastAsia="仿宋_GB2312" w:cs="Times New Roman"/>
          <w:b/>
          <w:bCs/>
          <w:kern w:val="0"/>
          <w:sz w:val="32"/>
        </w:rPr>
        <w:t>签订协议</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根据已参加面试考生的总成绩从高到低依次等额确定三方（双方）协议签订人员及进入体检考核人员名单。如岗位出现空缺，根据总成绩从高到低依次进行递补。</w:t>
      </w:r>
    </w:p>
    <w:p>
      <w:pPr>
        <w:spacing w:line="600" w:lineRule="exact"/>
        <w:ind w:firstLine="643" w:firstLineChars="200"/>
        <w:jc w:val="left"/>
        <w:rPr>
          <w:rFonts w:hint="default" w:ascii="Times New Roman" w:hAnsi="Times New Roman" w:eastAsia="楷体_GB2312" w:cs="Times New Roman"/>
          <w:b/>
          <w:bCs/>
          <w:kern w:val="0"/>
          <w:sz w:val="32"/>
        </w:rPr>
      </w:pPr>
      <w:r>
        <w:rPr>
          <w:rFonts w:hint="default" w:ascii="Times New Roman" w:hAnsi="Times New Roman" w:eastAsia="楷体_GB2312" w:cs="Times New Roman"/>
          <w:b/>
          <w:bCs/>
          <w:kern w:val="0"/>
          <w:sz w:val="32"/>
        </w:rPr>
        <w:t>（六）体检</w:t>
      </w:r>
    </w:p>
    <w:p>
      <w:pPr>
        <w:pStyle w:val="6"/>
        <w:widowControl w:val="0"/>
        <w:shd w:val="clear" w:color="auto" w:fill="FFFFFF"/>
        <w:spacing w:before="0" w:beforeAutospacing="0" w:after="0" w:afterAutospacing="0" w:line="580" w:lineRule="exact"/>
        <w:ind w:firstLine="640" w:firstLineChars="200"/>
        <w:rPr>
          <w:rFonts w:hint="default" w:ascii="Times New Roman" w:hAnsi="Times New Roman" w:eastAsia="楷体_GB2312" w:cs="Times New Roman"/>
          <w:b/>
          <w:sz w:val="32"/>
          <w:szCs w:val="32"/>
        </w:rPr>
      </w:pPr>
      <w:r>
        <w:rPr>
          <w:rFonts w:hint="default" w:ascii="Times New Roman" w:hAnsi="Times New Roman" w:eastAsia="仿宋_GB2312" w:cs="Times New Roman"/>
          <w:sz w:val="32"/>
          <w:szCs w:val="32"/>
        </w:rPr>
        <w:t>体检名单及相关事宜在</w:t>
      </w:r>
      <w:r>
        <w:rPr>
          <w:rFonts w:hint="eastAsia" w:ascii="Times New Roman" w:hAnsi="Times New Roman" w:eastAsia="仿宋_GB2312" w:cs="Times New Roman"/>
          <w:sz w:val="32"/>
          <w:szCs w:val="32"/>
          <w:lang w:eastAsia="zh-CN"/>
        </w:rPr>
        <w:t>新津县人民政府门户网站</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“政务公开”-“人事及招考信息”（http://www.xinjin.gov.cn/）</w:t>
      </w:r>
      <w:r>
        <w:rPr>
          <w:rFonts w:hint="default" w:ascii="Times New Roman" w:hAnsi="Times New Roman" w:eastAsia="仿宋_GB2312" w:cs="Times New Roman"/>
          <w:sz w:val="32"/>
          <w:szCs w:val="32"/>
        </w:rPr>
        <w:t>公布。体检标准参照《公务员录用体检通用标准（试行）》（国人部发〔2005〕1号）、</w:t>
      </w:r>
      <w:r>
        <w:rPr>
          <w:rFonts w:hint="default" w:ascii="Times New Roman" w:hAnsi="Times New Roman" w:cs="Times New Roman"/>
        </w:rPr>
        <w:fldChar w:fldCharType="begin"/>
      </w:r>
      <w:r>
        <w:rPr>
          <w:rFonts w:hint="default" w:ascii="Times New Roman" w:hAnsi="Times New Roman" w:cs="Times New Roman"/>
        </w:rPr>
        <w:instrText xml:space="preserve"> HYPERLINK "http://file.scpta.gov.cn/201049/201049113100_r_346.html" </w:instrText>
      </w:r>
      <w:r>
        <w:rPr>
          <w:rFonts w:hint="default" w:ascii="Times New Roman" w:hAnsi="Times New Roman" w:cs="Times New Roman"/>
        </w:rPr>
        <w:fldChar w:fldCharType="separate"/>
      </w:r>
      <w:r>
        <w:rPr>
          <w:rFonts w:hint="default" w:ascii="Times New Roman" w:hAnsi="Times New Roman" w:eastAsia="仿宋_GB2312" w:cs="Times New Roman"/>
          <w:sz w:val="32"/>
          <w:szCs w:val="32"/>
        </w:rPr>
        <w:t>《关于进一步规范入学和就业体检项目维护乙肝表面抗原携带者入学和就业权利的通知》</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人社部发〔2010〕12号）、《关于修订〈公务员录用体检通用标准（试行）〉、〈公务员录用体检操作手册（试行）〉的通知》（人社部发〔2010〕19号）及《关于修订〈公务员录用体检通用标准（试行）〉、〈公务员录用体检操作手册（试行）〉有关内容的通知》（人社部发〔2016〕140号）规定执行。体检项目和标准参照公务员招录体检标准进行。并对体检合格人员参照成人办发〔2004〕109号文件规定进行思想政治表现、道德品质、综合能力等方面的考察了解。</w:t>
      </w:r>
    </w:p>
    <w:p>
      <w:pPr>
        <w:pStyle w:val="6"/>
        <w:widowControl w:val="0"/>
        <w:shd w:val="clear" w:color="auto" w:fill="FFFFFF"/>
        <w:spacing w:before="0" w:beforeAutospacing="0" w:after="0" w:afterAutospacing="0" w:line="58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因进入体检人员未按要求参加体检或体检不合格出现的空额，根据该招聘岗位已参加面试人员的考试总成绩从高到低依次等额进行递补。</w:t>
      </w:r>
    </w:p>
    <w:p>
      <w:pPr>
        <w:pStyle w:val="6"/>
        <w:widowControl w:val="0"/>
        <w:shd w:val="clear" w:color="auto" w:fill="FFFFFF"/>
        <w:spacing w:before="0" w:beforeAutospacing="0" w:after="0" w:afterAutospacing="0" w:line="375" w:lineRule="atLeast"/>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（七）考察</w:t>
      </w:r>
    </w:p>
    <w:p>
      <w:pPr>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考察工作参照成人办发〔2004〕109号文件规定执行。因个人原因导致招聘单位无法对其进行考察或考察不合格出现的空额，可按照已参加面试人员总成绩从高分到低分依次等额递补。</w:t>
      </w:r>
    </w:p>
    <w:p>
      <w:pPr>
        <w:pStyle w:val="6"/>
        <w:widowControl w:val="0"/>
        <w:shd w:val="clear" w:color="auto" w:fill="FFFFFF"/>
        <w:spacing w:before="0" w:beforeAutospacing="0" w:after="0" w:afterAutospacing="0" w:line="375" w:lineRule="atLeast"/>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（八）公示</w:t>
      </w:r>
    </w:p>
    <w:p>
      <w:pPr>
        <w:pStyle w:val="6"/>
        <w:widowControl w:val="0"/>
        <w:shd w:val="clear" w:color="auto" w:fill="FFFFFF"/>
        <w:spacing w:before="0" w:beforeAutospacing="0" w:after="0" w:afterAutospacing="0" w:line="58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体检及考察合格者确定为拟聘人员，在</w:t>
      </w:r>
      <w:r>
        <w:rPr>
          <w:rFonts w:hint="eastAsia" w:ascii="Times New Roman" w:hAnsi="Times New Roman" w:eastAsia="仿宋_GB2312" w:cs="Times New Roman"/>
          <w:sz w:val="32"/>
          <w:szCs w:val="32"/>
          <w:lang w:eastAsia="zh-CN"/>
        </w:rPr>
        <w:t>新津县人民政府门户网站</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“政务公开”-“人事及招考信息”（http://www.xinjin.gov.cn/）</w:t>
      </w:r>
      <w:r>
        <w:rPr>
          <w:rFonts w:hint="default" w:ascii="Times New Roman" w:hAnsi="Times New Roman" w:eastAsia="仿宋_GB2312" w:cs="Times New Roman"/>
          <w:sz w:val="32"/>
          <w:szCs w:val="32"/>
        </w:rPr>
        <w:t>进行公示，公示期不少于7个工作日。对公示期间反映有严重问题并查有实据、不符合应聘资格条件的，取消拟聘资格，产生的空额不再递补。</w:t>
      </w:r>
    </w:p>
    <w:p>
      <w:pPr>
        <w:pStyle w:val="6"/>
        <w:widowControl w:val="0"/>
        <w:shd w:val="clear" w:color="auto" w:fill="FFFFFF"/>
        <w:spacing w:before="0" w:beforeAutospacing="0" w:after="0" w:afterAutospacing="0" w:line="375" w:lineRule="atLeast"/>
        <w:ind w:firstLine="643" w:firstLineChars="200"/>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（九）聘用及报到</w:t>
      </w:r>
    </w:p>
    <w:p>
      <w:pPr>
        <w:pStyle w:val="6"/>
        <w:widowControl w:val="0"/>
        <w:shd w:val="clear" w:color="auto" w:fill="FFFFFF"/>
        <w:spacing w:before="0" w:beforeAutospacing="0" w:after="0" w:afterAutospacing="0" w:line="375" w:lineRule="atLeas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经公示无异议的拟聘人员由主管部门报县人力资源和社会保障局审核确认</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按《事业单位人事管理条例》（国务院令第652号）进行管理。</w:t>
      </w:r>
    </w:p>
    <w:p>
      <w:pPr>
        <w:pStyle w:val="6"/>
        <w:widowControl w:val="0"/>
        <w:shd w:val="clear" w:color="auto" w:fill="FFFFFF"/>
        <w:spacing w:before="0" w:beforeAutospacing="0" w:after="0" w:afterAutospacing="0" w:line="375" w:lineRule="atLeas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拟聘人员应在用人单位规定的时限内向用人单位报到。未经用人单位同意，逾期未报到者，视为自动放弃。因上述原因产生的空额，不再递补。</w:t>
      </w:r>
    </w:p>
    <w:p>
      <w:pPr>
        <w:pStyle w:val="6"/>
        <w:widowControl w:val="0"/>
        <w:shd w:val="clear" w:color="auto" w:fill="FFFFFF"/>
        <w:spacing w:before="0" w:beforeAutospacing="0" w:after="0" w:afterAutospacing="0" w:line="375" w:lineRule="atLeas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凡被聘用的人员，应当在招聘单位工作满5年及以上方可申请流（调）动。</w:t>
      </w:r>
    </w:p>
    <w:p>
      <w:pPr>
        <w:spacing w:line="60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bCs/>
          <w:kern w:val="0"/>
          <w:sz w:val="32"/>
        </w:rPr>
        <w:t>七、</w:t>
      </w:r>
      <w:r>
        <w:rPr>
          <w:rFonts w:hint="default" w:ascii="Times New Roman" w:hAnsi="Times New Roman" w:eastAsia="黑体" w:cs="Times New Roman"/>
          <w:sz w:val="32"/>
          <w:szCs w:val="32"/>
        </w:rPr>
        <w:t>监督和咨询</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为保证此次公开招聘工作的顺利进行，维护招考工作的公正性、严肃性，欢迎社会各界予以监督（举报电话：028-82522337、82517001）。</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咨询电话：82517285陈老师 </w:t>
      </w:r>
    </w:p>
    <w:p>
      <w:pPr>
        <w:spacing w:line="580" w:lineRule="exact"/>
        <w:ind w:firstLine="567"/>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八、温馨提示</w:t>
      </w:r>
    </w:p>
    <w:p>
      <w:pPr>
        <w:spacing w:line="580" w:lineRule="exact"/>
        <w:ind w:firstLine="640" w:firstLineChars="200"/>
        <w:jc w:val="left"/>
        <w:rPr>
          <w:rFonts w:hint="default" w:ascii="Times New Roman" w:hAnsi="Times New Roman" w:eastAsia="仿宋_GB2312" w:cs="Times New Roman"/>
          <w:sz w:val="32"/>
          <w:szCs w:val="32"/>
        </w:rPr>
      </w:pPr>
      <w:bookmarkStart w:id="0" w:name="_Hlk5962402"/>
      <w:r>
        <w:rPr>
          <w:rFonts w:hint="default" w:ascii="Times New Roman" w:hAnsi="Times New Roman" w:eastAsia="仿宋_GB2312" w:cs="Times New Roman"/>
          <w:kern w:val="0"/>
          <w:sz w:val="32"/>
          <w:szCs w:val="32"/>
        </w:rPr>
        <w:t>本次</w:t>
      </w:r>
      <w:r>
        <w:rPr>
          <w:rFonts w:hint="default" w:ascii="Times New Roman" w:hAnsi="Times New Roman" w:eastAsia="仿宋_GB2312" w:cs="Times New Roman"/>
          <w:sz w:val="32"/>
          <w:szCs w:val="32"/>
        </w:rPr>
        <w:t>招聘过程</w:t>
      </w:r>
      <w:bookmarkEnd w:id="0"/>
      <w:r>
        <w:rPr>
          <w:rFonts w:hint="default" w:ascii="Times New Roman" w:hAnsi="Times New Roman" w:eastAsia="仿宋_GB2312" w:cs="Times New Roman"/>
          <w:sz w:val="32"/>
          <w:szCs w:val="32"/>
        </w:rPr>
        <w:t>中如有调整、补充等事项，将统一在</w:t>
      </w:r>
      <w:r>
        <w:rPr>
          <w:rFonts w:hint="eastAsia" w:ascii="Times New Roman" w:hAnsi="Times New Roman" w:eastAsia="仿宋_GB2312" w:cs="Times New Roman"/>
          <w:sz w:val="32"/>
          <w:szCs w:val="32"/>
          <w:lang w:eastAsia="zh-CN"/>
        </w:rPr>
        <w:t>新津县人民政府门户网站</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eastAsia="zh-CN"/>
        </w:rPr>
        <w:t>“政务公开”-“人事及招考信息”（http://www.xinjin.gov.cn/）</w:t>
      </w:r>
      <w:r>
        <w:rPr>
          <w:rFonts w:hint="default" w:ascii="Times New Roman" w:hAnsi="Times New Roman" w:eastAsia="仿宋_GB2312" w:cs="Times New Roman"/>
          <w:sz w:val="32"/>
          <w:szCs w:val="32"/>
        </w:rPr>
        <w:t>上公布。因</w:t>
      </w:r>
      <w:r>
        <w:rPr>
          <w:rFonts w:hint="eastAsia" w:ascii="Times New Roman" w:hAnsi="Times New Roman" w:eastAsia="仿宋_GB2312" w:cs="Times New Roman"/>
          <w:sz w:val="32"/>
          <w:szCs w:val="32"/>
          <w:lang w:eastAsia="zh-CN"/>
        </w:rPr>
        <w:t>考生</w:t>
      </w:r>
      <w:r>
        <w:rPr>
          <w:rFonts w:hint="default" w:ascii="Times New Roman" w:hAnsi="Times New Roman" w:eastAsia="仿宋_GB2312" w:cs="Times New Roman"/>
          <w:sz w:val="32"/>
          <w:szCs w:val="32"/>
        </w:rPr>
        <w:t>不主动、不按要求登录相关网站查阅相关信息，导致本</w:t>
      </w:r>
      <w:r>
        <w:rPr>
          <w:rFonts w:hint="default" w:ascii="Times New Roman" w:hAnsi="Times New Roman" w:eastAsia="仿宋_GB2312" w:cs="Times New Roman"/>
          <w:kern w:val="0"/>
          <w:sz w:val="32"/>
          <w:szCs w:val="32"/>
        </w:rPr>
        <w:t>人未能按要求参加报名、资格审查、考核、体检、考察、聘用等流程的，责任自负。请</w:t>
      </w:r>
      <w:r>
        <w:rPr>
          <w:rFonts w:hint="eastAsia" w:ascii="Times New Roman" w:hAnsi="Times New Roman" w:eastAsia="仿宋_GB2312" w:cs="Times New Roman"/>
          <w:kern w:val="0"/>
          <w:sz w:val="32"/>
          <w:szCs w:val="32"/>
          <w:lang w:eastAsia="zh-CN"/>
        </w:rPr>
        <w:t>考生</w:t>
      </w:r>
      <w:r>
        <w:rPr>
          <w:rFonts w:hint="default" w:ascii="Times New Roman" w:hAnsi="Times New Roman" w:eastAsia="仿宋_GB2312" w:cs="Times New Roman"/>
          <w:kern w:val="0"/>
          <w:sz w:val="32"/>
          <w:szCs w:val="32"/>
        </w:rPr>
        <w:t>确保联系方</w:t>
      </w:r>
      <w:r>
        <w:rPr>
          <w:rFonts w:hint="default" w:ascii="Times New Roman" w:hAnsi="Times New Roman" w:eastAsia="仿宋_GB2312" w:cs="Times New Roman"/>
          <w:sz w:val="32"/>
          <w:szCs w:val="32"/>
        </w:rPr>
        <w:t>式正确、畅通，否则因无法与</w:t>
      </w:r>
      <w:r>
        <w:rPr>
          <w:rFonts w:hint="eastAsia" w:ascii="Times New Roman" w:hAnsi="Times New Roman" w:eastAsia="仿宋_GB2312" w:cs="Times New Roman"/>
          <w:sz w:val="32"/>
          <w:szCs w:val="32"/>
          <w:lang w:eastAsia="zh-CN"/>
        </w:rPr>
        <w:t>考生</w:t>
      </w:r>
      <w:r>
        <w:rPr>
          <w:rFonts w:hint="default" w:ascii="Times New Roman" w:hAnsi="Times New Roman" w:eastAsia="仿宋_GB2312" w:cs="Times New Roman"/>
          <w:sz w:val="32"/>
          <w:szCs w:val="32"/>
        </w:rPr>
        <w:t>取得联系所造成的后果，由</w:t>
      </w:r>
      <w:r>
        <w:rPr>
          <w:rFonts w:hint="eastAsia" w:ascii="Times New Roman" w:hAnsi="Times New Roman" w:eastAsia="仿宋_GB2312" w:cs="Times New Roman"/>
          <w:sz w:val="32"/>
          <w:szCs w:val="32"/>
          <w:lang w:eastAsia="zh-CN"/>
        </w:rPr>
        <w:t>考生</w:t>
      </w:r>
      <w:r>
        <w:rPr>
          <w:rFonts w:hint="default" w:ascii="Times New Roman" w:hAnsi="Times New Roman" w:eastAsia="仿宋_GB2312" w:cs="Times New Roman"/>
          <w:sz w:val="32"/>
          <w:szCs w:val="32"/>
        </w:rPr>
        <w:t>自行负责。</w:t>
      </w:r>
    </w:p>
    <w:p>
      <w:pPr>
        <w:spacing w:line="360" w:lineRule="auto"/>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 </w:t>
      </w:r>
    </w:p>
    <w:p>
      <w:pPr>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附件：1.《四川省成都市新津县卫健系统公开招聘专业技术人才岗位表》</w:t>
      </w:r>
    </w:p>
    <w:p>
      <w:pPr>
        <w:spacing w:line="600" w:lineRule="exact"/>
        <w:ind w:firstLine="1600" w:firstLineChars="5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w:t>
      </w:r>
      <w:bookmarkStart w:id="1" w:name="_Hlk6817192"/>
      <w:r>
        <w:rPr>
          <w:rFonts w:hint="default" w:ascii="Times New Roman" w:hAnsi="Times New Roman" w:eastAsia="仿宋_GB2312" w:cs="Times New Roman"/>
          <w:kern w:val="0"/>
          <w:sz w:val="32"/>
          <w:szCs w:val="32"/>
        </w:rPr>
        <w:t>四川省成都市新津县卫健系统公开招聘专业技术人才报名登记表</w:t>
      </w:r>
      <w:bookmarkEnd w:id="1"/>
      <w:r>
        <w:rPr>
          <w:rFonts w:hint="default" w:ascii="Times New Roman" w:hAnsi="Times New Roman" w:eastAsia="仿宋_GB2312" w:cs="Times New Roman"/>
          <w:kern w:val="0"/>
          <w:sz w:val="32"/>
          <w:szCs w:val="32"/>
        </w:rPr>
        <w:t>》</w:t>
      </w:r>
    </w:p>
    <w:p>
      <w:pPr>
        <w:spacing w:line="600" w:lineRule="exact"/>
        <w:ind w:firstLine="640" w:firstLineChars="200"/>
        <w:jc w:val="left"/>
        <w:rPr>
          <w:rFonts w:hint="default" w:ascii="Times New Roman" w:hAnsi="Times New Roman" w:eastAsia="仿宋_GB2312" w:cs="Times New Roman"/>
          <w:kern w:val="0"/>
          <w:sz w:val="32"/>
          <w:szCs w:val="32"/>
        </w:rPr>
      </w:pPr>
    </w:p>
    <w:p>
      <w:pPr>
        <w:spacing w:line="600" w:lineRule="exact"/>
        <w:ind w:left="6080" w:hanging="6080" w:hangingChars="19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中共新津县委机构编制委员会办公室  新津县人力资源和社会保障局</w:t>
      </w:r>
    </w:p>
    <w:p>
      <w:pPr>
        <w:spacing w:line="600" w:lineRule="exact"/>
        <w:ind w:firstLine="3040" w:firstLineChars="950"/>
        <w:jc w:val="left"/>
        <w:rPr>
          <w:rFonts w:hint="default" w:ascii="Times New Roman" w:hAnsi="Times New Roman" w:eastAsia="仿宋_GB2312" w:cs="Times New Roman"/>
          <w:kern w:val="0"/>
          <w:sz w:val="32"/>
          <w:szCs w:val="32"/>
        </w:rPr>
      </w:pPr>
    </w:p>
    <w:p>
      <w:pPr>
        <w:spacing w:line="600" w:lineRule="exact"/>
        <w:ind w:firstLine="3040" w:firstLineChars="95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新津县卫生健康局</w:t>
      </w:r>
    </w:p>
    <w:p>
      <w:pPr>
        <w:spacing w:line="600" w:lineRule="exact"/>
        <w:ind w:firstLine="3200" w:firstLineChars="1000"/>
        <w:jc w:val="left"/>
        <w:rPr>
          <w:rFonts w:hint="default" w:ascii="Times New Roman" w:hAnsi="Times New Roman" w:eastAsia="仿宋_GB2312" w:cs="Times New Roman"/>
          <w:kern w:val="0"/>
          <w:sz w:val="32"/>
          <w:szCs w:val="32"/>
        </w:rPr>
      </w:pPr>
      <w:r>
        <w:rPr>
          <w:rFonts w:hint="default" w:ascii="Times New Roman" w:hAnsi="Times New Roman" w:eastAsia="宋体" w:cs="Times New Roman"/>
          <w:kern w:val="0"/>
          <w:sz w:val="32"/>
          <w:szCs w:val="32"/>
        </w:rPr>
        <w:t>2019</w:t>
      </w:r>
      <w:r>
        <w:rPr>
          <w:rFonts w:hint="default" w:ascii="Times New Roman" w:hAnsi="Times New Roman" w:eastAsia="仿宋_GB2312" w:cs="Times New Roman"/>
          <w:kern w:val="0"/>
          <w:sz w:val="32"/>
          <w:szCs w:val="32"/>
        </w:rPr>
        <w:t>年</w:t>
      </w:r>
      <w:r>
        <w:rPr>
          <w:rFonts w:hint="default" w:ascii="Times New Roman" w:hAnsi="Times New Roman" w:eastAsia="宋体" w:cs="Times New Roman"/>
          <w:kern w:val="0"/>
          <w:sz w:val="32"/>
          <w:szCs w:val="32"/>
        </w:rPr>
        <w:t>10</w:t>
      </w:r>
      <w:r>
        <w:rPr>
          <w:rFonts w:hint="default"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10</w:t>
      </w:r>
      <w:r>
        <w:rPr>
          <w:rFonts w:hint="default" w:ascii="Times New Roman" w:hAnsi="Times New Roman" w:eastAsia="仿宋_GB2312" w:cs="Times New Roman"/>
          <w:kern w:val="0"/>
          <w:sz w:val="32"/>
          <w:szCs w:val="32"/>
        </w:rPr>
        <w:t>日</w:t>
      </w:r>
    </w:p>
    <w:tbl>
      <w:tblPr>
        <w:tblStyle w:val="7"/>
        <w:tblpPr w:leftFromText="180" w:rightFromText="180" w:vertAnchor="text" w:horzAnchor="margin" w:tblpXSpec="center" w:tblpY="644"/>
        <w:tblW w:w="10881" w:type="dxa"/>
        <w:tblInd w:w="0" w:type="dxa"/>
        <w:tblLayout w:type="fixed"/>
        <w:tblCellMar>
          <w:top w:w="0" w:type="dxa"/>
          <w:left w:w="108" w:type="dxa"/>
          <w:bottom w:w="0" w:type="dxa"/>
          <w:right w:w="108" w:type="dxa"/>
        </w:tblCellMar>
      </w:tblPr>
      <w:tblGrid>
        <w:gridCol w:w="534"/>
        <w:gridCol w:w="992"/>
        <w:gridCol w:w="709"/>
        <w:gridCol w:w="708"/>
        <w:gridCol w:w="709"/>
        <w:gridCol w:w="710"/>
        <w:gridCol w:w="2125"/>
        <w:gridCol w:w="1701"/>
        <w:gridCol w:w="2693"/>
      </w:tblGrid>
      <w:tr>
        <w:tblPrEx>
          <w:tblLayout w:type="fixed"/>
          <w:tblCellMar>
            <w:top w:w="0" w:type="dxa"/>
            <w:left w:w="108" w:type="dxa"/>
            <w:bottom w:w="0" w:type="dxa"/>
            <w:right w:w="108" w:type="dxa"/>
          </w:tblCellMar>
        </w:tblPrEx>
        <w:trPr>
          <w:trHeight w:val="415" w:hRule="atLeast"/>
        </w:trPr>
        <w:tc>
          <w:tcPr>
            <w:tcW w:w="10881" w:type="dxa"/>
            <w:gridSpan w:val="9"/>
            <w:tcBorders>
              <w:bottom w:val="single" w:color="auto" w:sz="4" w:space="0"/>
            </w:tcBorders>
            <w:shd w:val="clear" w:color="auto" w:fill="auto"/>
            <w:vAlign w:val="center"/>
          </w:tcPr>
          <w:p>
            <w:pPr>
              <w:spacing w:before="75" w:after="75" w:line="600" w:lineRule="atLeast"/>
              <w:ind w:firstLine="960" w:firstLineChars="300"/>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附件1</w:t>
            </w:r>
          </w:p>
          <w:p>
            <w:pPr>
              <w:spacing w:line="600" w:lineRule="exact"/>
              <w:jc w:val="center"/>
              <w:rPr>
                <w:rFonts w:hint="default" w:ascii="Times New Roman" w:hAnsi="Times New Roman" w:eastAsia="方正小标宋简体" w:cs="Times New Roman"/>
                <w:b/>
                <w:bCs/>
                <w:kern w:val="0"/>
                <w:sz w:val="44"/>
                <w:szCs w:val="44"/>
              </w:rPr>
            </w:pPr>
            <w:r>
              <w:rPr>
                <w:rFonts w:hint="default" w:ascii="Times New Roman" w:hAnsi="Times New Roman" w:eastAsia="方正小标宋简体" w:cs="Times New Roman"/>
                <w:b/>
                <w:bCs/>
                <w:kern w:val="0"/>
                <w:sz w:val="44"/>
                <w:szCs w:val="44"/>
              </w:rPr>
              <w:t>四川省成都市新津县卫健系统公开招聘</w:t>
            </w:r>
          </w:p>
          <w:p>
            <w:pPr>
              <w:spacing w:line="600" w:lineRule="exact"/>
              <w:jc w:val="center"/>
              <w:rPr>
                <w:rFonts w:hint="default" w:ascii="Times New Roman" w:hAnsi="Times New Roman" w:eastAsia="黑体" w:cs="Times New Roman"/>
              </w:rPr>
            </w:pPr>
            <w:r>
              <w:rPr>
                <w:rFonts w:hint="default" w:ascii="Times New Roman" w:hAnsi="Times New Roman" w:eastAsia="方正小标宋简体" w:cs="Times New Roman"/>
                <w:b/>
                <w:bCs/>
                <w:kern w:val="0"/>
                <w:sz w:val="44"/>
                <w:szCs w:val="44"/>
              </w:rPr>
              <w:t>专业技术人才岗位表</w:t>
            </w:r>
          </w:p>
        </w:tc>
      </w:tr>
      <w:tr>
        <w:tblPrEx>
          <w:tblLayout w:type="fixed"/>
          <w:tblCellMar>
            <w:top w:w="0" w:type="dxa"/>
            <w:left w:w="108" w:type="dxa"/>
            <w:bottom w:w="0" w:type="dxa"/>
            <w:right w:w="108" w:type="dxa"/>
          </w:tblCellMar>
        </w:tblPrEx>
        <w:trPr>
          <w:trHeight w:val="415" w:hRule="atLeast"/>
        </w:trPr>
        <w:tc>
          <w:tcPr>
            <w:tcW w:w="5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序号</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招聘单位</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岗位代码</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岗位名称</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岗位类别</w:t>
            </w:r>
          </w:p>
        </w:tc>
        <w:tc>
          <w:tcPr>
            <w:tcW w:w="7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招聘人数</w:t>
            </w:r>
          </w:p>
        </w:tc>
        <w:tc>
          <w:tcPr>
            <w:tcW w:w="6519" w:type="dxa"/>
            <w:gridSpan w:val="3"/>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岗位条件</w:t>
            </w:r>
          </w:p>
        </w:tc>
      </w:tr>
      <w:tr>
        <w:tblPrEx>
          <w:tblLayout w:type="fixed"/>
          <w:tblCellMar>
            <w:top w:w="0" w:type="dxa"/>
            <w:left w:w="108" w:type="dxa"/>
            <w:bottom w:w="0" w:type="dxa"/>
            <w:right w:w="108" w:type="dxa"/>
          </w:tblCellMar>
        </w:tblPrEx>
        <w:trPr>
          <w:trHeight w:val="560" w:hRule="atLeast"/>
        </w:trPr>
        <w:tc>
          <w:tcPr>
            <w:tcW w:w="534"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sz w:val="24"/>
                <w:szCs w:val="24"/>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sz w:val="24"/>
                <w:szCs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sz w:val="24"/>
                <w:szCs w:val="24"/>
              </w:rPr>
            </w:pPr>
          </w:p>
        </w:tc>
        <w:tc>
          <w:tcPr>
            <w:tcW w:w="71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黑体" w:cs="Times New Roman"/>
                <w:sz w:val="24"/>
                <w:szCs w:val="24"/>
              </w:rPr>
            </w:pPr>
          </w:p>
        </w:tc>
        <w:tc>
          <w:tcPr>
            <w:tcW w:w="2125"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专业</w:t>
            </w:r>
          </w:p>
        </w:tc>
        <w:tc>
          <w:tcPr>
            <w:tcW w:w="1701"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学历学位</w:t>
            </w:r>
          </w:p>
        </w:tc>
        <w:tc>
          <w:tcPr>
            <w:tcW w:w="2693"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其他条件</w:t>
            </w:r>
          </w:p>
        </w:tc>
      </w:tr>
      <w:tr>
        <w:tblPrEx>
          <w:tblLayout w:type="fixed"/>
          <w:tblCellMar>
            <w:top w:w="0" w:type="dxa"/>
            <w:left w:w="108" w:type="dxa"/>
            <w:bottom w:w="0" w:type="dxa"/>
            <w:right w:w="108" w:type="dxa"/>
          </w:tblCellMar>
        </w:tblPrEx>
        <w:trPr>
          <w:trHeight w:val="942"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1</w:t>
            </w:r>
          </w:p>
        </w:tc>
        <w:tc>
          <w:tcPr>
            <w:tcW w:w="99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新津县人民医院</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0101</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内科医生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2</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研究生：临床医学（内科学方向）、内科学</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普通高等教育硕士研究生及以上学历,取得学历相应学位</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取得相应专业执业医师证和省级及以上《住院医师规范化培训合格证》，1984年1月1日及以后出生</w:t>
            </w:r>
          </w:p>
        </w:tc>
      </w:tr>
      <w:tr>
        <w:tblPrEx>
          <w:tblLayout w:type="fixed"/>
          <w:tblCellMar>
            <w:top w:w="0" w:type="dxa"/>
            <w:left w:w="108" w:type="dxa"/>
            <w:bottom w:w="0" w:type="dxa"/>
            <w:right w:w="108" w:type="dxa"/>
          </w:tblCellMar>
        </w:tblPrEx>
        <w:trPr>
          <w:trHeight w:val="1005"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2</w:t>
            </w:r>
          </w:p>
        </w:tc>
        <w:tc>
          <w:tcPr>
            <w:tcW w:w="992"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新津县中医医院</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0201</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内科医生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1</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研究生：临床医学（内科学方向）、内科学</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普通高等教育硕士研究生及以上学历,取得学历相应学位</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取得相应专业执业医师证和省级及以上《住院医师规范化培训合格证》，1984年1月1日及以后出生</w:t>
            </w:r>
          </w:p>
        </w:tc>
      </w:tr>
      <w:tr>
        <w:tblPrEx>
          <w:tblLayout w:type="fixed"/>
          <w:tblCellMar>
            <w:top w:w="0" w:type="dxa"/>
            <w:left w:w="108" w:type="dxa"/>
            <w:bottom w:w="0" w:type="dxa"/>
            <w:right w:w="108" w:type="dxa"/>
          </w:tblCellMar>
        </w:tblPrEx>
        <w:trPr>
          <w:trHeight w:val="872"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3</w:t>
            </w:r>
          </w:p>
        </w:tc>
        <w:tc>
          <w:tcPr>
            <w:tcW w:w="992" w:type="dxa"/>
            <w:vMerge w:val="continue"/>
            <w:tcBorders>
              <w:top w:val="nil"/>
              <w:left w:val="single" w:color="auto" w:sz="4" w:space="0"/>
              <w:bottom w:val="single" w:color="000000" w:sz="4" w:space="0"/>
              <w:right w:val="single" w:color="auto" w:sz="4" w:space="0"/>
            </w:tcBorders>
            <w:vAlign w:val="center"/>
          </w:tcPr>
          <w:p>
            <w:pPr>
              <w:rPr>
                <w:rFonts w:hint="default" w:ascii="Times New Roman" w:hAnsi="Times New Roman" w:eastAsia="宋体" w:cs="Times New Roman"/>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0202</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外科医生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1</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研究生：临床医学（外科学方向）、外科学</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普通高等教育硕士研究生及以上学历,取得学历相应学位</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取得相应专业执业医师证和省级及以上《住院医师规范化培训合格证》，1984年1月1日及以后出生</w:t>
            </w:r>
          </w:p>
        </w:tc>
      </w:tr>
      <w:tr>
        <w:tblPrEx>
          <w:tblLayout w:type="fixed"/>
          <w:tblCellMar>
            <w:top w:w="0" w:type="dxa"/>
            <w:left w:w="108" w:type="dxa"/>
            <w:bottom w:w="0" w:type="dxa"/>
            <w:right w:w="108" w:type="dxa"/>
          </w:tblCellMar>
        </w:tblPrEx>
        <w:trPr>
          <w:trHeight w:val="1005"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4</w:t>
            </w:r>
          </w:p>
        </w:tc>
        <w:tc>
          <w:tcPr>
            <w:tcW w:w="992" w:type="dxa"/>
            <w:vMerge w:val="continue"/>
            <w:tcBorders>
              <w:top w:val="nil"/>
              <w:left w:val="single" w:color="auto" w:sz="4" w:space="0"/>
              <w:bottom w:val="single" w:color="000000" w:sz="4" w:space="0"/>
              <w:right w:val="single" w:color="auto" w:sz="4" w:space="0"/>
            </w:tcBorders>
            <w:vAlign w:val="center"/>
          </w:tcPr>
          <w:p>
            <w:pPr>
              <w:rPr>
                <w:rFonts w:hint="default" w:ascii="Times New Roman" w:hAnsi="Times New Roman" w:eastAsia="宋体" w:cs="Times New Roman"/>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0203</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财务人员</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1</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 xml:space="preserve">财务管理、会计学、统计学                   </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普通高等教育本科及以上学历,取得学历相应学位</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2019年应届研究生、2020年应届优秀毕业生，且具有相应专业初级及以上职称，1984年1月1日及以后出生</w:t>
            </w:r>
          </w:p>
        </w:tc>
      </w:tr>
      <w:tr>
        <w:tblPrEx>
          <w:tblLayout w:type="fixed"/>
          <w:tblCellMar>
            <w:top w:w="0" w:type="dxa"/>
            <w:left w:w="108" w:type="dxa"/>
            <w:bottom w:w="0" w:type="dxa"/>
            <w:right w:w="108" w:type="dxa"/>
          </w:tblCellMar>
        </w:tblPrEx>
        <w:trPr>
          <w:trHeight w:val="875"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5</w:t>
            </w:r>
          </w:p>
        </w:tc>
        <w:tc>
          <w:tcPr>
            <w:tcW w:w="992" w:type="dxa"/>
            <w:vMerge w:val="continue"/>
            <w:tcBorders>
              <w:top w:val="nil"/>
              <w:left w:val="single" w:color="auto" w:sz="4" w:space="0"/>
              <w:bottom w:val="single" w:color="000000" w:sz="4" w:space="0"/>
              <w:right w:val="single" w:color="auto" w:sz="4" w:space="0"/>
            </w:tcBorders>
            <w:vAlign w:val="center"/>
          </w:tcPr>
          <w:p>
            <w:pPr>
              <w:rPr>
                <w:rFonts w:hint="default" w:ascii="Times New Roman" w:hAnsi="Times New Roman" w:eastAsia="宋体" w:cs="Times New Roman"/>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0204</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普外科医生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1</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 xml:space="preserve">本科：临床医学                         研究生：外科学；                          </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普通高等教育本科及以上，取得学历相应学位</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具有相应专业执业医师证和省级及以上《住院医师规范化培训合格证》，1984年1月1日及以后出生</w:t>
            </w:r>
          </w:p>
        </w:tc>
      </w:tr>
      <w:tr>
        <w:tblPrEx>
          <w:tblLayout w:type="fixed"/>
          <w:tblCellMar>
            <w:top w:w="0" w:type="dxa"/>
            <w:left w:w="108" w:type="dxa"/>
            <w:bottom w:w="0" w:type="dxa"/>
            <w:right w:w="108" w:type="dxa"/>
          </w:tblCellMar>
        </w:tblPrEx>
        <w:trPr>
          <w:trHeight w:val="1005"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6</w:t>
            </w:r>
          </w:p>
        </w:tc>
        <w:tc>
          <w:tcPr>
            <w:tcW w:w="992" w:type="dxa"/>
            <w:vMerge w:val="continue"/>
            <w:tcBorders>
              <w:top w:val="nil"/>
              <w:left w:val="single" w:color="auto" w:sz="4" w:space="0"/>
              <w:bottom w:val="single" w:color="000000" w:sz="4" w:space="0"/>
              <w:right w:val="single" w:color="auto" w:sz="4" w:space="0"/>
            </w:tcBorders>
            <w:vAlign w:val="center"/>
          </w:tcPr>
          <w:p>
            <w:pPr>
              <w:rPr>
                <w:rFonts w:hint="default" w:ascii="Times New Roman" w:hAnsi="Times New Roman" w:eastAsia="宋体" w:cs="Times New Roman"/>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0205</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急诊科医生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1</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本科：临床医学、中西医结合临床                               研究生：急诊医学、中西医结合临床</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普通高等教育本科及以上，取得学历相应学位</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具有相应专业执业医师证和省级及以上《住院医师规范化培训合格证》，1984年1月1日及以后出生</w:t>
            </w:r>
          </w:p>
        </w:tc>
      </w:tr>
      <w:tr>
        <w:tblPrEx>
          <w:tblLayout w:type="fixed"/>
          <w:tblCellMar>
            <w:top w:w="0" w:type="dxa"/>
            <w:left w:w="108" w:type="dxa"/>
            <w:bottom w:w="0" w:type="dxa"/>
            <w:right w:w="108" w:type="dxa"/>
          </w:tblCellMar>
        </w:tblPrEx>
        <w:trPr>
          <w:trHeight w:val="840"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7</w:t>
            </w:r>
          </w:p>
        </w:tc>
        <w:tc>
          <w:tcPr>
            <w:tcW w:w="992"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新津县妇幼保健计划生育服务中心</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0301</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妇产科医生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rPr>
              <w:t>2</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本科：妇幼保健医学研究生：妇产科学</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普通高等学校本科及以上学历，取得学历相应学位</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1984年1月1日及以后出生</w:t>
            </w:r>
          </w:p>
        </w:tc>
      </w:tr>
      <w:tr>
        <w:tblPrEx>
          <w:tblLayout w:type="fixed"/>
          <w:tblCellMar>
            <w:top w:w="0" w:type="dxa"/>
            <w:left w:w="108" w:type="dxa"/>
            <w:bottom w:w="0" w:type="dxa"/>
            <w:right w:w="108" w:type="dxa"/>
          </w:tblCellMar>
        </w:tblPrEx>
        <w:trPr>
          <w:trHeight w:val="1095"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8</w:t>
            </w:r>
          </w:p>
        </w:tc>
        <w:tc>
          <w:tcPr>
            <w:tcW w:w="992" w:type="dxa"/>
            <w:vMerge w:val="continue"/>
            <w:tcBorders>
              <w:top w:val="nil"/>
              <w:left w:val="single" w:color="auto" w:sz="4" w:space="0"/>
              <w:bottom w:val="single" w:color="000000" w:sz="4" w:space="0"/>
              <w:right w:val="single" w:color="auto" w:sz="4" w:space="0"/>
            </w:tcBorders>
            <w:vAlign w:val="center"/>
          </w:tcPr>
          <w:p>
            <w:pPr>
              <w:rPr>
                <w:rFonts w:hint="default" w:ascii="Times New Roman" w:hAnsi="Times New Roman" w:eastAsia="宋体" w:cs="Times New Roman"/>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0302</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儿科医生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24"/>
                <w:szCs w:val="24"/>
              </w:rPr>
            </w:pPr>
            <w:r>
              <w:rPr>
                <w:rFonts w:hint="default" w:ascii="Times New Roman" w:hAnsi="Times New Roman" w:cs="Times New Roman"/>
              </w:rPr>
              <w:t>1</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本科：儿科学研究生：儿科学、临床医学（仅限儿科方向）</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普通高等学校本科及以上学历，取得学历相应学位</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1984年1月1日及以后出生</w:t>
            </w:r>
          </w:p>
        </w:tc>
      </w:tr>
      <w:tr>
        <w:tblPrEx>
          <w:tblLayout w:type="fixed"/>
          <w:tblCellMar>
            <w:top w:w="0" w:type="dxa"/>
            <w:left w:w="108" w:type="dxa"/>
            <w:bottom w:w="0" w:type="dxa"/>
            <w:right w:w="108" w:type="dxa"/>
          </w:tblCellMar>
        </w:tblPrEx>
        <w:trPr>
          <w:trHeight w:val="1020"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9</w:t>
            </w:r>
          </w:p>
        </w:tc>
        <w:tc>
          <w:tcPr>
            <w:tcW w:w="992" w:type="dxa"/>
            <w:vMerge w:val="continue"/>
            <w:tcBorders>
              <w:top w:val="nil"/>
              <w:left w:val="single" w:color="auto" w:sz="4" w:space="0"/>
              <w:bottom w:val="single" w:color="000000" w:sz="4" w:space="0"/>
              <w:right w:val="single" w:color="auto" w:sz="4" w:space="0"/>
            </w:tcBorders>
            <w:vAlign w:val="center"/>
          </w:tcPr>
          <w:p>
            <w:pPr>
              <w:rPr>
                <w:rFonts w:hint="default" w:ascii="Times New Roman" w:hAnsi="Times New Roman" w:eastAsia="宋体" w:cs="Times New Roman"/>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0303</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财务人员</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1</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 xml:space="preserve">财务管理、会计学、统计学                   </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普通高等教育本科及以上学历,取得学历相应学位</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2019年应届研究生、2020年应届优秀毕业生，且具有相应专业初级及以上职称，1984年1月1日及以后出生</w:t>
            </w:r>
          </w:p>
        </w:tc>
      </w:tr>
      <w:tr>
        <w:tblPrEx>
          <w:tblLayout w:type="fixed"/>
          <w:tblCellMar>
            <w:top w:w="0" w:type="dxa"/>
            <w:left w:w="108" w:type="dxa"/>
            <w:bottom w:w="0" w:type="dxa"/>
            <w:right w:w="108" w:type="dxa"/>
          </w:tblCellMar>
        </w:tblPrEx>
        <w:trPr>
          <w:trHeight w:val="1159"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10</w:t>
            </w:r>
          </w:p>
        </w:tc>
        <w:tc>
          <w:tcPr>
            <w:tcW w:w="992" w:type="dxa"/>
            <w:vMerge w:val="continue"/>
            <w:tcBorders>
              <w:top w:val="nil"/>
              <w:left w:val="single" w:color="auto" w:sz="4" w:space="0"/>
              <w:bottom w:val="single" w:color="000000" w:sz="4" w:space="0"/>
              <w:right w:val="single" w:color="auto" w:sz="4" w:space="0"/>
            </w:tcBorders>
            <w:vAlign w:val="center"/>
          </w:tcPr>
          <w:p>
            <w:pPr>
              <w:rPr>
                <w:rFonts w:hint="default" w:ascii="Times New Roman" w:hAnsi="Times New Roman" w:eastAsia="宋体" w:cs="Times New Roman"/>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0304</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外科医生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1</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 xml:space="preserve"> 本科：临床医学                        </w:t>
            </w:r>
            <w:r>
              <w:rPr>
                <w:rFonts w:hint="default" w:ascii="Times New Roman" w:hAnsi="Times New Roman" w:cs="Times New Roman"/>
                <w:sz w:val="18"/>
                <w:szCs w:val="18"/>
              </w:rPr>
              <w:br w:type="textWrapping"/>
            </w:r>
            <w:r>
              <w:rPr>
                <w:rFonts w:hint="default" w:ascii="Times New Roman" w:hAnsi="Times New Roman" w:cs="Times New Roman"/>
                <w:sz w:val="18"/>
                <w:szCs w:val="18"/>
              </w:rPr>
              <w:t xml:space="preserve">研究生：外科学                         </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普通高等教育本科及以上学历,取得学历相应学位</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具有相应专业执业医师证，1984年1月1日及以后出生</w:t>
            </w:r>
          </w:p>
        </w:tc>
      </w:tr>
      <w:tr>
        <w:tblPrEx>
          <w:tblLayout w:type="fixed"/>
          <w:tblCellMar>
            <w:top w:w="0" w:type="dxa"/>
            <w:left w:w="108" w:type="dxa"/>
            <w:bottom w:w="0" w:type="dxa"/>
            <w:right w:w="108" w:type="dxa"/>
          </w:tblCellMar>
        </w:tblPrEx>
        <w:trPr>
          <w:trHeight w:val="915"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11</w:t>
            </w:r>
          </w:p>
        </w:tc>
        <w:tc>
          <w:tcPr>
            <w:tcW w:w="992"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新津县第二人民医院</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0401</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财务人员</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1</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 xml:space="preserve">财务管理、会计学、统计学                   </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普通高等教育本科及以上学历,取得学历相应学位</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2019年应届研究生、2020年应届优秀毕业生，且具有相应专业初级及以上职称，1984年1月1日及以后出生</w:t>
            </w:r>
          </w:p>
        </w:tc>
      </w:tr>
      <w:tr>
        <w:tblPrEx>
          <w:tblLayout w:type="fixed"/>
          <w:tblCellMar>
            <w:top w:w="0" w:type="dxa"/>
            <w:left w:w="108" w:type="dxa"/>
            <w:bottom w:w="0" w:type="dxa"/>
            <w:right w:w="108" w:type="dxa"/>
          </w:tblCellMar>
        </w:tblPrEx>
        <w:trPr>
          <w:trHeight w:val="1200"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12</w:t>
            </w:r>
          </w:p>
        </w:tc>
        <w:tc>
          <w:tcPr>
            <w:tcW w:w="992"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新津县社区卫生服务中心</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0501</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药剂师</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2</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 xml:space="preserve">药学                              </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普通高等教育本科及以上学历,取得学历相应学位</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2019年应届研究生、2020年应届优秀毕业生，且具有相应专业初级及以上职称，1984年1月1日及以后出生</w:t>
            </w:r>
          </w:p>
        </w:tc>
      </w:tr>
      <w:tr>
        <w:tblPrEx>
          <w:tblLayout w:type="fixed"/>
          <w:tblCellMar>
            <w:top w:w="0" w:type="dxa"/>
            <w:left w:w="108" w:type="dxa"/>
            <w:bottom w:w="0" w:type="dxa"/>
            <w:right w:w="108" w:type="dxa"/>
          </w:tblCellMar>
        </w:tblPrEx>
        <w:trPr>
          <w:trHeight w:val="1080"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13</w:t>
            </w:r>
          </w:p>
        </w:tc>
        <w:tc>
          <w:tcPr>
            <w:tcW w:w="992" w:type="dxa"/>
            <w:vMerge w:val="continue"/>
            <w:tcBorders>
              <w:top w:val="nil"/>
              <w:left w:val="single" w:color="auto" w:sz="4" w:space="0"/>
              <w:bottom w:val="single" w:color="000000" w:sz="4" w:space="0"/>
              <w:right w:val="single" w:color="auto" w:sz="4" w:space="0"/>
            </w:tcBorders>
            <w:vAlign w:val="center"/>
          </w:tcPr>
          <w:p>
            <w:pPr>
              <w:rPr>
                <w:rFonts w:hint="default" w:ascii="Times New Roman" w:hAnsi="Times New Roman" w:eastAsia="宋体" w:cs="Times New Roman"/>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0502</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临床医生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2</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临床医学</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普通高等教育本科及以上学历,取得学历相应学位</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具有相应专业执业医师证，1984年1月1日及以后出生；</w:t>
            </w:r>
          </w:p>
        </w:tc>
      </w:tr>
      <w:tr>
        <w:tblPrEx>
          <w:tblLayout w:type="fixed"/>
          <w:tblCellMar>
            <w:top w:w="0" w:type="dxa"/>
            <w:left w:w="108" w:type="dxa"/>
            <w:bottom w:w="0" w:type="dxa"/>
            <w:right w:w="108" w:type="dxa"/>
          </w:tblCellMar>
        </w:tblPrEx>
        <w:trPr>
          <w:trHeight w:val="1080"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14</w:t>
            </w:r>
          </w:p>
        </w:tc>
        <w:tc>
          <w:tcPr>
            <w:tcW w:w="992" w:type="dxa"/>
            <w:vMerge w:val="continue"/>
            <w:tcBorders>
              <w:top w:val="nil"/>
              <w:left w:val="single" w:color="auto" w:sz="4" w:space="0"/>
              <w:bottom w:val="single" w:color="000000" w:sz="4" w:space="0"/>
              <w:right w:val="single" w:color="auto" w:sz="4" w:space="0"/>
            </w:tcBorders>
            <w:vAlign w:val="center"/>
          </w:tcPr>
          <w:p>
            <w:pPr>
              <w:rPr>
                <w:rFonts w:hint="default" w:ascii="Times New Roman" w:hAnsi="Times New Roman" w:eastAsia="宋体" w:cs="Times New Roman"/>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0503</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儿科医生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1</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本科：临床医学                          研究生：儿科学</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普通高等教育本科及以上学历,取得学历相应学位</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具有相应专业执业医师证，且注册范围为儿科专业，1984年1月1日及以后出生。</w:t>
            </w:r>
          </w:p>
        </w:tc>
      </w:tr>
      <w:tr>
        <w:tblPrEx>
          <w:tblLayout w:type="fixed"/>
          <w:tblCellMar>
            <w:top w:w="0" w:type="dxa"/>
            <w:left w:w="108" w:type="dxa"/>
            <w:bottom w:w="0" w:type="dxa"/>
            <w:right w:w="108" w:type="dxa"/>
          </w:tblCellMar>
        </w:tblPrEx>
        <w:trPr>
          <w:trHeight w:val="1245"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15</w:t>
            </w:r>
          </w:p>
        </w:tc>
        <w:tc>
          <w:tcPr>
            <w:tcW w:w="992" w:type="dxa"/>
            <w:vMerge w:val="continue"/>
            <w:tcBorders>
              <w:top w:val="nil"/>
              <w:left w:val="single" w:color="auto" w:sz="4" w:space="0"/>
              <w:bottom w:val="single" w:color="000000" w:sz="4" w:space="0"/>
              <w:right w:val="single" w:color="auto" w:sz="4" w:space="0"/>
            </w:tcBorders>
            <w:vAlign w:val="center"/>
          </w:tcPr>
          <w:p>
            <w:pPr>
              <w:rPr>
                <w:rFonts w:hint="default" w:ascii="Times New Roman" w:hAnsi="Times New Roman" w:eastAsia="宋体" w:cs="Times New Roman"/>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0504</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口腔科医生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1</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 xml:space="preserve">口腔医学                               </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普通高等教育大专及以上学历</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具有相应专业执业医师证，且注册范围为口腔专业，1984年1月1日及以后出生。</w:t>
            </w:r>
          </w:p>
        </w:tc>
      </w:tr>
      <w:tr>
        <w:tblPrEx>
          <w:tblLayout w:type="fixed"/>
          <w:tblCellMar>
            <w:top w:w="0" w:type="dxa"/>
            <w:left w:w="108" w:type="dxa"/>
            <w:bottom w:w="0" w:type="dxa"/>
            <w:right w:w="108" w:type="dxa"/>
          </w:tblCellMar>
        </w:tblPrEx>
        <w:trPr>
          <w:trHeight w:val="1455"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16</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新津县乡镇公立卫生院</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0601</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药剂师</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3</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 xml:space="preserve">药学                              </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普通高等教育本科及以上学历,取得学历相应学位</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2019年应届研究生、2020年应届优秀毕业生，且具有相应专业初级及以上职称，1984年1月1日及以后出生</w:t>
            </w:r>
          </w:p>
        </w:tc>
      </w:tr>
      <w:tr>
        <w:tblPrEx>
          <w:tblLayout w:type="fixed"/>
          <w:tblCellMar>
            <w:top w:w="0" w:type="dxa"/>
            <w:left w:w="108" w:type="dxa"/>
            <w:bottom w:w="0" w:type="dxa"/>
            <w:right w:w="108" w:type="dxa"/>
          </w:tblCellMar>
        </w:tblPrEx>
        <w:trPr>
          <w:trHeight w:val="1455"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17</w:t>
            </w:r>
          </w:p>
        </w:tc>
        <w:tc>
          <w:tcPr>
            <w:tcW w:w="992"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0602</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妇科医生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3</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临床医学、妇产科学</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普通高等教育大专及以上学历</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具有相应专业执业医师证，且注册范围为妇科专业，1984年1月1日及以后出生；取得相应专业中级职称可放宽到45周岁（1974年1月1日及以后出生）</w:t>
            </w:r>
          </w:p>
        </w:tc>
      </w:tr>
      <w:tr>
        <w:tblPrEx>
          <w:tblLayout w:type="fixed"/>
          <w:tblCellMar>
            <w:top w:w="0" w:type="dxa"/>
            <w:left w:w="108" w:type="dxa"/>
            <w:bottom w:w="0" w:type="dxa"/>
            <w:right w:w="108" w:type="dxa"/>
          </w:tblCellMar>
        </w:tblPrEx>
        <w:trPr>
          <w:trHeight w:val="1260"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18</w:t>
            </w:r>
          </w:p>
        </w:tc>
        <w:tc>
          <w:tcPr>
            <w:tcW w:w="992"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0603</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儿科医生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2</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临床医学、儿科学</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普通高等教育大专及以上学历</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具有相应专业执业医师证，且注册范围为儿科专业，1984年1月1日及以后出生；取得相应专业中级职称可放宽到45周岁（1974年1月1日及以后出生）</w:t>
            </w:r>
          </w:p>
        </w:tc>
      </w:tr>
      <w:tr>
        <w:tblPrEx>
          <w:tblLayout w:type="fixed"/>
          <w:tblCellMar>
            <w:top w:w="0" w:type="dxa"/>
            <w:left w:w="108" w:type="dxa"/>
            <w:bottom w:w="0" w:type="dxa"/>
            <w:right w:w="108" w:type="dxa"/>
          </w:tblCellMar>
        </w:tblPrEx>
        <w:trPr>
          <w:trHeight w:val="1335"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19</w:t>
            </w:r>
          </w:p>
        </w:tc>
        <w:tc>
          <w:tcPr>
            <w:tcW w:w="992"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0604</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全科医生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4</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临床医学、中西医结合、中西医临床医学、中西医结合临床</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普通高等教育大专及以上学历</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具有相应专业执业医师证，且注册范围为全科专业，1984年1月1日及以后出生；取得相应专业中级职称可放宽到45周岁（1974年1月1日及以后出生）</w:t>
            </w:r>
          </w:p>
        </w:tc>
      </w:tr>
      <w:tr>
        <w:tblPrEx>
          <w:tblLayout w:type="fixed"/>
          <w:tblCellMar>
            <w:top w:w="0" w:type="dxa"/>
            <w:left w:w="108" w:type="dxa"/>
            <w:bottom w:w="0" w:type="dxa"/>
            <w:right w:w="108" w:type="dxa"/>
          </w:tblCellMar>
        </w:tblPrEx>
        <w:trPr>
          <w:trHeight w:val="1335"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20</w:t>
            </w:r>
          </w:p>
        </w:tc>
        <w:tc>
          <w:tcPr>
            <w:tcW w:w="992"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0605</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麻醉医生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1</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 xml:space="preserve">临床医学、麻醉学      </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普通高等教育大专及以上学历</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具有相应专业执业医师证，且注册范围为麻醉专业，1984年1月1日及以后出生；取得相应专业中级职称可放宽到45周岁（1974年1月1日及以后出生）</w:t>
            </w:r>
          </w:p>
        </w:tc>
      </w:tr>
      <w:tr>
        <w:tblPrEx>
          <w:tblLayout w:type="fixed"/>
          <w:tblCellMar>
            <w:top w:w="0" w:type="dxa"/>
            <w:left w:w="108" w:type="dxa"/>
            <w:bottom w:w="0" w:type="dxa"/>
            <w:right w:w="108" w:type="dxa"/>
          </w:tblCellMar>
        </w:tblPrEx>
        <w:trPr>
          <w:trHeight w:val="1140"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21</w:t>
            </w:r>
          </w:p>
        </w:tc>
        <w:tc>
          <w:tcPr>
            <w:tcW w:w="992"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0606</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口腔科医生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2</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 xml:space="preserve">口腔医学                               </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普通高等教育大专及以上学历</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具有相应专业执业医师证，且注册范围为口腔专业1984年1月1日及以后出生；取得相应专业中级职称可放宽到45周岁（1974年1月1日及以后出生）</w:t>
            </w:r>
          </w:p>
        </w:tc>
      </w:tr>
      <w:tr>
        <w:tblPrEx>
          <w:tblLayout w:type="fixed"/>
          <w:tblCellMar>
            <w:top w:w="0" w:type="dxa"/>
            <w:left w:w="108" w:type="dxa"/>
            <w:bottom w:w="0" w:type="dxa"/>
            <w:right w:w="108" w:type="dxa"/>
          </w:tblCellMar>
        </w:tblPrEx>
        <w:trPr>
          <w:trHeight w:val="1395"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22</w:t>
            </w:r>
          </w:p>
        </w:tc>
        <w:tc>
          <w:tcPr>
            <w:tcW w:w="992"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0607</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中医医生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6</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 xml:space="preserve">针灸推拿、中医骨伤、中西医结合、中医学、针灸推拿学、中西医临床医学                              </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普通高等教育大专及以上学历</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具有相应专业相应专业执业医师证，1984年1月1日及以后出生；取得相应专业中级职称可放宽到45周岁（1974年1月1日及以后出生）</w:t>
            </w:r>
          </w:p>
        </w:tc>
      </w:tr>
      <w:tr>
        <w:tblPrEx>
          <w:tblLayout w:type="fixed"/>
          <w:tblCellMar>
            <w:top w:w="0" w:type="dxa"/>
            <w:left w:w="108" w:type="dxa"/>
            <w:bottom w:w="0" w:type="dxa"/>
            <w:right w:w="108" w:type="dxa"/>
          </w:tblCellMar>
        </w:tblPrEx>
        <w:trPr>
          <w:trHeight w:val="1095"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23</w:t>
            </w:r>
          </w:p>
        </w:tc>
        <w:tc>
          <w:tcPr>
            <w:tcW w:w="992"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0608</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外科医生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3</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临床医学、外科学</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普通高等教育大专及以上学历</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具有相应专业执业医师证，且注册范围为外科专业，1984年1月1日及以后出生；取得相应专业中级职称可放宽到45周岁（1974年1月1日及以后出生）</w:t>
            </w:r>
          </w:p>
        </w:tc>
      </w:tr>
      <w:tr>
        <w:tblPrEx>
          <w:tblLayout w:type="fixed"/>
          <w:tblCellMar>
            <w:top w:w="0" w:type="dxa"/>
            <w:left w:w="108" w:type="dxa"/>
            <w:bottom w:w="0" w:type="dxa"/>
            <w:right w:w="108" w:type="dxa"/>
          </w:tblCellMar>
        </w:tblPrEx>
        <w:trPr>
          <w:trHeight w:val="1185"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24</w:t>
            </w:r>
          </w:p>
        </w:tc>
        <w:tc>
          <w:tcPr>
            <w:tcW w:w="992"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0609</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妇产科医生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1</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本科：临床医学、妇幼保健医学</w:t>
            </w:r>
            <w:r>
              <w:rPr>
                <w:rFonts w:hint="default" w:ascii="Times New Roman" w:hAnsi="Times New Roman" w:cs="Times New Roman"/>
                <w:sz w:val="18"/>
                <w:szCs w:val="18"/>
              </w:rPr>
              <w:br w:type="textWrapping"/>
            </w:r>
            <w:r>
              <w:rPr>
                <w:rFonts w:hint="default" w:ascii="Times New Roman" w:hAnsi="Times New Roman" w:cs="Times New Roman"/>
                <w:sz w:val="18"/>
                <w:szCs w:val="18"/>
              </w:rPr>
              <w:t>研究生：妇产科学</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普通高等教育本科及以上学历,取得学历相应学位</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具有相应专业执业医师证，且注册范围为妇产科专业，1984年1月1日及以后出生；取得相应专业中级职称可放宽到45周岁（1974年1月1日及以后出生）</w:t>
            </w:r>
          </w:p>
        </w:tc>
      </w:tr>
      <w:tr>
        <w:tblPrEx>
          <w:tblLayout w:type="fixed"/>
          <w:tblCellMar>
            <w:top w:w="0" w:type="dxa"/>
            <w:left w:w="108" w:type="dxa"/>
            <w:bottom w:w="0" w:type="dxa"/>
            <w:right w:w="108" w:type="dxa"/>
          </w:tblCellMar>
        </w:tblPrEx>
        <w:trPr>
          <w:trHeight w:val="1470"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25</w:t>
            </w:r>
          </w:p>
        </w:tc>
        <w:tc>
          <w:tcPr>
            <w:tcW w:w="992"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0610</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B超医生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2</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临床医学、医学影像学、影像医学与核医学</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普通高等教育本科及以上学历,取得学历相应学位</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具有相应专业执业医师证，且注册范围为医学影像或B超专业，1984年1月1日及以后出生；取得相应专业中级职称可放宽到45周岁（1974年1月1日及以后出生）</w:t>
            </w:r>
          </w:p>
        </w:tc>
      </w:tr>
      <w:tr>
        <w:tblPrEx>
          <w:tblLayout w:type="fixed"/>
          <w:tblCellMar>
            <w:top w:w="0" w:type="dxa"/>
            <w:left w:w="108" w:type="dxa"/>
            <w:bottom w:w="0" w:type="dxa"/>
            <w:right w:w="108" w:type="dxa"/>
          </w:tblCellMar>
        </w:tblPrEx>
        <w:trPr>
          <w:trHeight w:val="1545" w:hRule="atLeast"/>
        </w:trPr>
        <w:tc>
          <w:tcPr>
            <w:tcW w:w="534" w:type="dxa"/>
            <w:tcBorders>
              <w:top w:val="nil"/>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sz w:val="24"/>
                <w:szCs w:val="24"/>
              </w:rPr>
            </w:pPr>
            <w:r>
              <w:rPr>
                <w:rFonts w:hint="default" w:ascii="Times New Roman" w:hAnsi="Times New Roman" w:eastAsia="黑体" w:cs="Times New Roman"/>
              </w:rPr>
              <w:t>26</w:t>
            </w:r>
          </w:p>
        </w:tc>
        <w:tc>
          <w:tcPr>
            <w:tcW w:w="992" w:type="dxa"/>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sz w:val="18"/>
                <w:szCs w:val="18"/>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0611</w:t>
            </w:r>
          </w:p>
        </w:tc>
        <w:tc>
          <w:tcPr>
            <w:tcW w:w="70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放射科医生</w:t>
            </w:r>
          </w:p>
        </w:tc>
        <w:tc>
          <w:tcPr>
            <w:tcW w:w="709"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专技岗位</w:t>
            </w:r>
          </w:p>
        </w:tc>
        <w:tc>
          <w:tcPr>
            <w:tcW w:w="710"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1</w:t>
            </w:r>
          </w:p>
        </w:tc>
        <w:tc>
          <w:tcPr>
            <w:tcW w:w="2125"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临床医学、医学影像技术、放射治疗技术、医学影像学、放射医学、影像医学与核医学</w:t>
            </w:r>
          </w:p>
        </w:tc>
        <w:tc>
          <w:tcPr>
            <w:tcW w:w="1701"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普通高等教育大专及以上学历</w:t>
            </w:r>
          </w:p>
        </w:tc>
        <w:tc>
          <w:tcPr>
            <w:tcW w:w="269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sz w:val="18"/>
                <w:szCs w:val="18"/>
              </w:rPr>
            </w:pPr>
            <w:r>
              <w:rPr>
                <w:rFonts w:hint="default" w:ascii="Times New Roman" w:hAnsi="Times New Roman" w:cs="Times New Roman"/>
                <w:sz w:val="18"/>
                <w:szCs w:val="18"/>
              </w:rPr>
              <w:t>具有相应专业执业医师证且注册范围为医学影像、放射专业或具有放射医学技士证，1984年1月1日及以后出生；取得相应专业中级职称可放宽到45周岁（1974年1月1日及以后出生）</w:t>
            </w:r>
          </w:p>
        </w:tc>
      </w:tr>
    </w:tbl>
    <w:p>
      <w:pPr>
        <w:spacing w:before="75" w:after="75" w:line="600" w:lineRule="atLeast"/>
        <w:rPr>
          <w:rFonts w:hint="default" w:ascii="Times New Roman" w:hAnsi="Times New Roman" w:cs="Times New Roman"/>
        </w:rPr>
      </w:pPr>
    </w:p>
    <w:p>
      <w:pPr>
        <w:spacing w:before="75" w:after="75" w:line="600" w:lineRule="atLeast"/>
        <w:rPr>
          <w:rFonts w:hint="default" w:ascii="Times New Roman" w:hAnsi="Times New Roman" w:cs="Times New Roman"/>
        </w:rPr>
      </w:pPr>
    </w:p>
    <w:p>
      <w:pPr>
        <w:spacing w:before="75" w:after="75" w:line="600" w:lineRule="atLeast"/>
        <w:rPr>
          <w:rFonts w:hint="default" w:ascii="Times New Roman" w:hAnsi="Times New Roman" w:cs="Times New Roman"/>
        </w:rPr>
      </w:pPr>
    </w:p>
    <w:p>
      <w:pPr>
        <w:spacing w:before="75" w:after="75" w:line="600" w:lineRule="atLeast"/>
        <w:rPr>
          <w:rFonts w:hint="default" w:ascii="Times New Roman" w:hAnsi="Times New Roman" w:cs="Times New Roman"/>
        </w:rPr>
      </w:pPr>
    </w:p>
    <w:tbl>
      <w:tblPr>
        <w:tblStyle w:val="7"/>
        <w:tblW w:w="10251" w:type="dxa"/>
        <w:tblInd w:w="-321" w:type="dxa"/>
        <w:tblLayout w:type="fixed"/>
        <w:tblCellMar>
          <w:top w:w="0" w:type="dxa"/>
          <w:left w:w="0" w:type="dxa"/>
          <w:bottom w:w="0" w:type="dxa"/>
          <w:right w:w="0" w:type="dxa"/>
        </w:tblCellMar>
      </w:tblPr>
      <w:tblGrid>
        <w:gridCol w:w="1754"/>
        <w:gridCol w:w="880"/>
        <w:gridCol w:w="368"/>
        <w:gridCol w:w="879"/>
        <w:gridCol w:w="396"/>
        <w:gridCol w:w="1392"/>
        <w:gridCol w:w="1443"/>
        <w:gridCol w:w="206"/>
        <w:gridCol w:w="1029"/>
        <w:gridCol w:w="330"/>
        <w:gridCol w:w="1574"/>
      </w:tblGrid>
      <w:tr>
        <w:tblPrEx>
          <w:tblLayout w:type="fixed"/>
          <w:tblCellMar>
            <w:top w:w="0" w:type="dxa"/>
            <w:left w:w="0" w:type="dxa"/>
            <w:bottom w:w="0" w:type="dxa"/>
            <w:right w:w="0" w:type="dxa"/>
          </w:tblCellMar>
        </w:tblPrEx>
        <w:trPr>
          <w:trHeight w:val="480" w:hRule="atLeast"/>
        </w:trPr>
        <w:tc>
          <w:tcPr>
            <w:tcW w:w="10251" w:type="dxa"/>
            <w:gridSpan w:val="11"/>
            <w:tcBorders>
              <w:top w:val="nil"/>
              <w:left w:val="nil"/>
              <w:bottom w:val="nil"/>
              <w:right w:val="nil"/>
            </w:tcBorders>
            <w:shd w:val="clear" w:color="auto" w:fill="auto"/>
            <w:tcMar>
              <w:top w:w="0" w:type="dxa"/>
              <w:left w:w="105" w:type="dxa"/>
              <w:bottom w:w="0" w:type="dxa"/>
              <w:right w:w="105" w:type="dxa"/>
            </w:tcMar>
            <w:vAlign w:val="center"/>
          </w:tcPr>
          <w:p>
            <w:pPr>
              <w:widowControl/>
              <w:spacing w:line="600" w:lineRule="exact"/>
              <w:jc w:val="left"/>
              <w:rPr>
                <w:rFonts w:hint="default" w:ascii="Times New Roman" w:hAnsi="Times New Roman" w:eastAsia="宋体" w:cs="Times New Roman"/>
                <w:kern w:val="0"/>
                <w:sz w:val="24"/>
                <w:szCs w:val="24"/>
              </w:rPr>
            </w:pPr>
            <w:r>
              <w:rPr>
                <w:rFonts w:hint="default" w:ascii="Times New Roman" w:hAnsi="Times New Roman" w:eastAsia="黑体" w:cs="Times New Roman"/>
                <w:kern w:val="0"/>
                <w:sz w:val="32"/>
                <w:szCs w:val="32"/>
              </w:rPr>
              <w:t>附件2</w:t>
            </w:r>
          </w:p>
          <w:p>
            <w:pPr>
              <w:widowControl/>
              <w:spacing w:line="600" w:lineRule="exact"/>
              <w:jc w:val="center"/>
              <w:rPr>
                <w:rFonts w:hint="default" w:ascii="Times New Roman" w:hAnsi="Times New Roman" w:eastAsia="方正小标宋简体" w:cs="Times New Roman"/>
                <w:b/>
                <w:bCs/>
                <w:kern w:val="0"/>
                <w:sz w:val="44"/>
                <w:szCs w:val="44"/>
              </w:rPr>
            </w:pPr>
            <w:r>
              <w:rPr>
                <w:rFonts w:hint="default" w:ascii="Times New Roman" w:hAnsi="Times New Roman" w:eastAsia="方正小标宋简体" w:cs="Times New Roman"/>
                <w:kern w:val="0"/>
                <w:sz w:val="44"/>
                <w:szCs w:val="44"/>
              </w:rPr>
              <w:t>四川省成都市新津县卫健系统公开招聘专业技术人才报名登记表</w:t>
            </w:r>
          </w:p>
        </w:tc>
      </w:tr>
      <w:tr>
        <w:tblPrEx>
          <w:tblLayout w:type="fixed"/>
          <w:tblCellMar>
            <w:top w:w="0" w:type="dxa"/>
            <w:left w:w="0" w:type="dxa"/>
            <w:bottom w:w="0" w:type="dxa"/>
            <w:right w:w="0" w:type="dxa"/>
          </w:tblCellMar>
        </w:tblPrEx>
        <w:tc>
          <w:tcPr>
            <w:tcW w:w="1754" w:type="dxa"/>
            <w:tcBorders>
              <w:top w:val="nil"/>
              <w:left w:val="nil"/>
              <w:bottom w:val="nil"/>
              <w:right w:val="nil"/>
            </w:tcBorders>
            <w:shd w:val="clear" w:color="auto" w:fill="auto"/>
            <w:tcMar>
              <w:top w:w="75" w:type="dxa"/>
              <w:left w:w="150" w:type="dxa"/>
              <w:bottom w:w="75" w:type="dxa"/>
              <w:right w:w="150" w:type="dxa"/>
            </w:tcMar>
            <w:vAlign w:val="center"/>
          </w:tcPr>
          <w:p>
            <w:pPr>
              <w:widowControl/>
              <w:jc w:val="left"/>
              <w:rPr>
                <w:rFonts w:hint="default" w:ascii="Times New Roman" w:hAnsi="Times New Roman" w:eastAsia="宋体" w:cs="Times New Roman"/>
                <w:kern w:val="0"/>
                <w:sz w:val="1"/>
                <w:szCs w:val="24"/>
              </w:rPr>
            </w:pPr>
          </w:p>
        </w:tc>
        <w:tc>
          <w:tcPr>
            <w:tcW w:w="880" w:type="dxa"/>
            <w:tcBorders>
              <w:top w:val="nil"/>
              <w:left w:val="nil"/>
              <w:bottom w:val="nil"/>
              <w:right w:val="nil"/>
            </w:tcBorders>
            <w:shd w:val="clear" w:color="auto" w:fill="auto"/>
            <w:tcMar>
              <w:top w:w="75" w:type="dxa"/>
              <w:left w:w="150" w:type="dxa"/>
              <w:bottom w:w="75" w:type="dxa"/>
              <w:right w:w="150" w:type="dxa"/>
            </w:tcMar>
            <w:vAlign w:val="center"/>
          </w:tcPr>
          <w:p>
            <w:pPr>
              <w:widowControl/>
              <w:jc w:val="left"/>
              <w:rPr>
                <w:rFonts w:hint="default" w:ascii="Times New Roman" w:hAnsi="Times New Roman" w:eastAsia="宋体" w:cs="Times New Roman"/>
                <w:kern w:val="0"/>
                <w:sz w:val="1"/>
                <w:szCs w:val="24"/>
              </w:rPr>
            </w:pPr>
          </w:p>
        </w:tc>
        <w:tc>
          <w:tcPr>
            <w:tcW w:w="368" w:type="dxa"/>
            <w:tcBorders>
              <w:top w:val="nil"/>
              <w:left w:val="nil"/>
              <w:bottom w:val="nil"/>
              <w:right w:val="nil"/>
            </w:tcBorders>
            <w:shd w:val="clear" w:color="auto" w:fill="auto"/>
            <w:tcMar>
              <w:top w:w="75" w:type="dxa"/>
              <w:left w:w="150" w:type="dxa"/>
              <w:bottom w:w="75" w:type="dxa"/>
              <w:right w:w="150" w:type="dxa"/>
            </w:tcMar>
            <w:vAlign w:val="center"/>
          </w:tcPr>
          <w:p>
            <w:pPr>
              <w:widowControl/>
              <w:jc w:val="left"/>
              <w:rPr>
                <w:rFonts w:hint="default" w:ascii="Times New Roman" w:hAnsi="Times New Roman" w:eastAsia="宋体" w:cs="Times New Roman"/>
                <w:kern w:val="0"/>
                <w:sz w:val="1"/>
                <w:szCs w:val="24"/>
              </w:rPr>
            </w:pPr>
          </w:p>
        </w:tc>
        <w:tc>
          <w:tcPr>
            <w:tcW w:w="879" w:type="dxa"/>
            <w:tcBorders>
              <w:top w:val="nil"/>
              <w:left w:val="nil"/>
              <w:bottom w:val="nil"/>
              <w:right w:val="nil"/>
            </w:tcBorders>
            <w:shd w:val="clear" w:color="auto" w:fill="auto"/>
            <w:tcMar>
              <w:top w:w="75" w:type="dxa"/>
              <w:left w:w="150" w:type="dxa"/>
              <w:bottom w:w="75" w:type="dxa"/>
              <w:right w:w="150" w:type="dxa"/>
            </w:tcMar>
            <w:vAlign w:val="center"/>
          </w:tcPr>
          <w:p>
            <w:pPr>
              <w:widowControl/>
              <w:jc w:val="left"/>
              <w:rPr>
                <w:rFonts w:hint="default" w:ascii="Times New Roman" w:hAnsi="Times New Roman" w:eastAsia="宋体" w:cs="Times New Roman"/>
                <w:kern w:val="0"/>
                <w:sz w:val="1"/>
                <w:szCs w:val="24"/>
              </w:rPr>
            </w:pPr>
          </w:p>
        </w:tc>
        <w:tc>
          <w:tcPr>
            <w:tcW w:w="396" w:type="dxa"/>
            <w:tcBorders>
              <w:top w:val="nil"/>
              <w:left w:val="nil"/>
              <w:bottom w:val="nil"/>
              <w:right w:val="nil"/>
            </w:tcBorders>
            <w:shd w:val="clear" w:color="auto" w:fill="auto"/>
            <w:tcMar>
              <w:top w:w="75" w:type="dxa"/>
              <w:left w:w="150" w:type="dxa"/>
              <w:bottom w:w="75" w:type="dxa"/>
              <w:right w:w="150" w:type="dxa"/>
            </w:tcMar>
            <w:vAlign w:val="center"/>
          </w:tcPr>
          <w:p>
            <w:pPr>
              <w:widowControl/>
              <w:jc w:val="left"/>
              <w:rPr>
                <w:rFonts w:hint="default" w:ascii="Times New Roman" w:hAnsi="Times New Roman" w:eastAsia="宋体" w:cs="Times New Roman"/>
                <w:kern w:val="0"/>
                <w:sz w:val="1"/>
                <w:szCs w:val="24"/>
              </w:rPr>
            </w:pPr>
          </w:p>
        </w:tc>
        <w:tc>
          <w:tcPr>
            <w:tcW w:w="1392" w:type="dxa"/>
            <w:tcBorders>
              <w:top w:val="nil"/>
              <w:left w:val="nil"/>
              <w:bottom w:val="nil"/>
              <w:right w:val="nil"/>
            </w:tcBorders>
            <w:shd w:val="clear" w:color="auto" w:fill="auto"/>
            <w:tcMar>
              <w:top w:w="75" w:type="dxa"/>
              <w:left w:w="150" w:type="dxa"/>
              <w:bottom w:w="75" w:type="dxa"/>
              <w:right w:w="150" w:type="dxa"/>
            </w:tcMar>
            <w:vAlign w:val="center"/>
          </w:tcPr>
          <w:p>
            <w:pPr>
              <w:widowControl/>
              <w:jc w:val="left"/>
              <w:rPr>
                <w:rFonts w:hint="default" w:ascii="Times New Roman" w:hAnsi="Times New Roman" w:eastAsia="宋体" w:cs="Times New Roman"/>
                <w:kern w:val="0"/>
                <w:sz w:val="1"/>
                <w:szCs w:val="24"/>
              </w:rPr>
            </w:pPr>
          </w:p>
        </w:tc>
        <w:tc>
          <w:tcPr>
            <w:tcW w:w="1443" w:type="dxa"/>
            <w:tcBorders>
              <w:top w:val="nil"/>
              <w:left w:val="nil"/>
              <w:bottom w:val="nil"/>
              <w:right w:val="nil"/>
            </w:tcBorders>
            <w:shd w:val="clear" w:color="auto" w:fill="auto"/>
            <w:tcMar>
              <w:top w:w="75" w:type="dxa"/>
              <w:left w:w="150" w:type="dxa"/>
              <w:bottom w:w="75" w:type="dxa"/>
              <w:right w:w="150" w:type="dxa"/>
            </w:tcMar>
            <w:vAlign w:val="center"/>
          </w:tcPr>
          <w:p>
            <w:pPr>
              <w:widowControl/>
              <w:jc w:val="left"/>
              <w:rPr>
                <w:rFonts w:hint="default" w:ascii="Times New Roman" w:hAnsi="Times New Roman" w:eastAsia="宋体" w:cs="Times New Roman"/>
                <w:kern w:val="0"/>
                <w:sz w:val="1"/>
                <w:szCs w:val="24"/>
              </w:rPr>
            </w:pPr>
          </w:p>
        </w:tc>
        <w:tc>
          <w:tcPr>
            <w:tcW w:w="1235" w:type="dxa"/>
            <w:gridSpan w:val="2"/>
            <w:tcBorders>
              <w:top w:val="nil"/>
              <w:left w:val="nil"/>
              <w:bottom w:val="nil"/>
              <w:right w:val="nil"/>
            </w:tcBorders>
            <w:shd w:val="clear" w:color="auto" w:fill="auto"/>
            <w:tcMar>
              <w:top w:w="75" w:type="dxa"/>
              <w:left w:w="150" w:type="dxa"/>
              <w:bottom w:w="75" w:type="dxa"/>
              <w:right w:w="150" w:type="dxa"/>
            </w:tcMar>
            <w:vAlign w:val="center"/>
          </w:tcPr>
          <w:p>
            <w:pPr>
              <w:widowControl/>
              <w:jc w:val="left"/>
              <w:rPr>
                <w:rFonts w:hint="default" w:ascii="Times New Roman" w:hAnsi="Times New Roman" w:eastAsia="宋体" w:cs="Times New Roman"/>
                <w:kern w:val="0"/>
                <w:sz w:val="1"/>
                <w:szCs w:val="24"/>
              </w:rPr>
            </w:pPr>
          </w:p>
        </w:tc>
        <w:tc>
          <w:tcPr>
            <w:tcW w:w="330" w:type="dxa"/>
            <w:tcBorders>
              <w:top w:val="nil"/>
              <w:left w:val="nil"/>
              <w:bottom w:val="nil"/>
              <w:right w:val="nil"/>
            </w:tcBorders>
            <w:shd w:val="clear" w:color="auto" w:fill="auto"/>
            <w:tcMar>
              <w:top w:w="75" w:type="dxa"/>
              <w:left w:w="150" w:type="dxa"/>
              <w:bottom w:w="75" w:type="dxa"/>
              <w:right w:w="150" w:type="dxa"/>
            </w:tcMar>
            <w:vAlign w:val="center"/>
          </w:tcPr>
          <w:p>
            <w:pPr>
              <w:widowControl/>
              <w:jc w:val="left"/>
              <w:rPr>
                <w:rFonts w:hint="default" w:ascii="Times New Roman" w:hAnsi="Times New Roman" w:eastAsia="宋体" w:cs="Times New Roman"/>
                <w:kern w:val="0"/>
                <w:sz w:val="1"/>
                <w:szCs w:val="24"/>
              </w:rPr>
            </w:pPr>
          </w:p>
        </w:tc>
        <w:tc>
          <w:tcPr>
            <w:tcW w:w="1574" w:type="dxa"/>
            <w:tcBorders>
              <w:top w:val="nil"/>
              <w:left w:val="nil"/>
              <w:bottom w:val="nil"/>
              <w:right w:val="nil"/>
            </w:tcBorders>
            <w:shd w:val="clear" w:color="auto" w:fill="auto"/>
            <w:tcMar>
              <w:top w:w="75" w:type="dxa"/>
              <w:left w:w="150" w:type="dxa"/>
              <w:bottom w:w="75" w:type="dxa"/>
              <w:right w:w="150" w:type="dxa"/>
            </w:tcMar>
            <w:vAlign w:val="center"/>
          </w:tcPr>
          <w:p>
            <w:pPr>
              <w:widowControl/>
              <w:jc w:val="left"/>
              <w:rPr>
                <w:rFonts w:hint="default" w:ascii="Times New Roman" w:hAnsi="Times New Roman" w:eastAsia="宋体" w:cs="Times New Roman"/>
                <w:kern w:val="0"/>
                <w:sz w:val="1"/>
                <w:szCs w:val="24"/>
              </w:rPr>
            </w:pPr>
          </w:p>
        </w:tc>
      </w:tr>
      <w:tr>
        <w:tblPrEx>
          <w:tblLayout w:type="fixed"/>
          <w:tblCellMar>
            <w:top w:w="0" w:type="dxa"/>
            <w:left w:w="0" w:type="dxa"/>
            <w:bottom w:w="0" w:type="dxa"/>
            <w:right w:w="0" w:type="dxa"/>
          </w:tblCellMar>
        </w:tblPrEx>
        <w:trPr>
          <w:trHeight w:val="435" w:hRule="atLeast"/>
        </w:trPr>
        <w:tc>
          <w:tcPr>
            <w:tcW w:w="1754"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姓名</w:t>
            </w:r>
          </w:p>
        </w:tc>
        <w:tc>
          <w:tcPr>
            <w:tcW w:w="1248"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1275" w:type="dxa"/>
            <w:gridSpan w:val="2"/>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性别</w:t>
            </w:r>
          </w:p>
        </w:tc>
        <w:tc>
          <w:tcPr>
            <w:tcW w:w="1392"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1443" w:type="dxa"/>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籍贯</w:t>
            </w:r>
          </w:p>
        </w:tc>
        <w:tc>
          <w:tcPr>
            <w:tcW w:w="1565" w:type="dxa"/>
            <w:gridSpan w:val="3"/>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1574" w:type="dxa"/>
            <w:vMerge w:val="restart"/>
            <w:tcBorders>
              <w:top w:val="single" w:color="auto" w:sz="6" w:space="0"/>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照片</w:t>
            </w:r>
          </w:p>
        </w:tc>
      </w:tr>
      <w:tr>
        <w:tblPrEx>
          <w:tblLayout w:type="fixed"/>
          <w:tblCellMar>
            <w:top w:w="0" w:type="dxa"/>
            <w:left w:w="0" w:type="dxa"/>
            <w:bottom w:w="0" w:type="dxa"/>
            <w:right w:w="0" w:type="dxa"/>
          </w:tblCellMar>
        </w:tblPrEx>
        <w:trPr>
          <w:trHeight w:val="435" w:hRule="atLeast"/>
        </w:trPr>
        <w:tc>
          <w:tcPr>
            <w:tcW w:w="175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民族</w:t>
            </w:r>
          </w:p>
        </w:tc>
        <w:tc>
          <w:tcPr>
            <w:tcW w:w="1248"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1275"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出生年月</w:t>
            </w:r>
          </w:p>
        </w:tc>
        <w:tc>
          <w:tcPr>
            <w:tcW w:w="1392"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144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出生地</w:t>
            </w:r>
          </w:p>
        </w:tc>
        <w:tc>
          <w:tcPr>
            <w:tcW w:w="1565"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1574" w:type="dxa"/>
            <w:vMerge w:val="continue"/>
            <w:tcBorders>
              <w:top w:val="single" w:color="auto" w:sz="6" w:space="0"/>
              <w:left w:val="nil"/>
              <w:bottom w:val="single" w:color="auto" w:sz="6" w:space="0"/>
              <w:right w:val="single" w:color="auto" w:sz="6" w:space="0"/>
            </w:tcBorders>
            <w:vAlign w:val="center"/>
          </w:tcPr>
          <w:p>
            <w:pPr>
              <w:widowControl/>
              <w:jc w:val="left"/>
              <w:rPr>
                <w:rFonts w:hint="default" w:ascii="Times New Roman" w:hAnsi="Times New Roman" w:eastAsia="宋体" w:cs="Times New Roman"/>
                <w:kern w:val="0"/>
                <w:sz w:val="24"/>
                <w:szCs w:val="24"/>
              </w:rPr>
            </w:pPr>
          </w:p>
        </w:tc>
      </w:tr>
      <w:tr>
        <w:tblPrEx>
          <w:tblLayout w:type="fixed"/>
          <w:tblCellMar>
            <w:top w:w="0" w:type="dxa"/>
            <w:left w:w="0" w:type="dxa"/>
            <w:bottom w:w="0" w:type="dxa"/>
            <w:right w:w="0" w:type="dxa"/>
          </w:tblCellMar>
        </w:tblPrEx>
        <w:trPr>
          <w:trHeight w:val="435" w:hRule="atLeast"/>
        </w:trPr>
        <w:tc>
          <w:tcPr>
            <w:tcW w:w="175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身份证号</w:t>
            </w:r>
          </w:p>
        </w:tc>
        <w:tc>
          <w:tcPr>
            <w:tcW w:w="3915"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144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婚姻状况</w:t>
            </w:r>
          </w:p>
        </w:tc>
        <w:tc>
          <w:tcPr>
            <w:tcW w:w="1565"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1574" w:type="dxa"/>
            <w:vMerge w:val="continue"/>
            <w:tcBorders>
              <w:top w:val="single" w:color="auto" w:sz="6" w:space="0"/>
              <w:left w:val="nil"/>
              <w:bottom w:val="single" w:color="auto" w:sz="6" w:space="0"/>
              <w:right w:val="single" w:color="auto" w:sz="6" w:space="0"/>
            </w:tcBorders>
            <w:vAlign w:val="center"/>
          </w:tcPr>
          <w:p>
            <w:pPr>
              <w:widowControl/>
              <w:jc w:val="left"/>
              <w:rPr>
                <w:rFonts w:hint="default" w:ascii="Times New Roman" w:hAnsi="Times New Roman" w:eastAsia="宋体" w:cs="Times New Roman"/>
                <w:kern w:val="0"/>
                <w:sz w:val="24"/>
                <w:szCs w:val="24"/>
              </w:rPr>
            </w:pPr>
          </w:p>
        </w:tc>
      </w:tr>
      <w:tr>
        <w:tblPrEx>
          <w:tblLayout w:type="fixed"/>
          <w:tblCellMar>
            <w:top w:w="0" w:type="dxa"/>
            <w:left w:w="0" w:type="dxa"/>
            <w:bottom w:w="0" w:type="dxa"/>
            <w:right w:w="0" w:type="dxa"/>
          </w:tblCellMar>
        </w:tblPrEx>
        <w:trPr>
          <w:trHeight w:val="435" w:hRule="atLeast"/>
        </w:trPr>
        <w:tc>
          <w:tcPr>
            <w:tcW w:w="175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身体状况</w:t>
            </w:r>
          </w:p>
        </w:tc>
        <w:tc>
          <w:tcPr>
            <w:tcW w:w="3915"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144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身高</w:t>
            </w:r>
          </w:p>
        </w:tc>
        <w:tc>
          <w:tcPr>
            <w:tcW w:w="1565" w:type="dxa"/>
            <w:gridSpan w:val="3"/>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1574" w:type="dxa"/>
            <w:vMerge w:val="continue"/>
            <w:tcBorders>
              <w:top w:val="single" w:color="auto" w:sz="6" w:space="0"/>
              <w:left w:val="nil"/>
              <w:bottom w:val="single" w:color="auto" w:sz="6" w:space="0"/>
              <w:right w:val="single" w:color="auto" w:sz="6" w:space="0"/>
            </w:tcBorders>
            <w:vAlign w:val="center"/>
          </w:tcPr>
          <w:p>
            <w:pPr>
              <w:widowControl/>
              <w:jc w:val="left"/>
              <w:rPr>
                <w:rFonts w:hint="default" w:ascii="Times New Roman" w:hAnsi="Times New Roman" w:eastAsia="宋体" w:cs="Times New Roman"/>
                <w:kern w:val="0"/>
                <w:sz w:val="24"/>
                <w:szCs w:val="24"/>
              </w:rPr>
            </w:pPr>
          </w:p>
        </w:tc>
      </w:tr>
      <w:tr>
        <w:tblPrEx>
          <w:tblLayout w:type="fixed"/>
          <w:tblCellMar>
            <w:top w:w="0" w:type="dxa"/>
            <w:left w:w="0" w:type="dxa"/>
            <w:bottom w:w="0" w:type="dxa"/>
            <w:right w:w="0" w:type="dxa"/>
          </w:tblCellMar>
        </w:tblPrEx>
        <w:trPr>
          <w:trHeight w:val="420" w:hRule="atLeast"/>
        </w:trPr>
        <w:tc>
          <w:tcPr>
            <w:tcW w:w="175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政治面貌</w:t>
            </w:r>
          </w:p>
        </w:tc>
        <w:tc>
          <w:tcPr>
            <w:tcW w:w="3915"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1443" w:type="dxa"/>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E-Mail</w:t>
            </w:r>
          </w:p>
        </w:tc>
        <w:tc>
          <w:tcPr>
            <w:tcW w:w="3139" w:type="dxa"/>
            <w:gridSpan w:val="4"/>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r>
      <w:tr>
        <w:tblPrEx>
          <w:tblLayout w:type="fixed"/>
          <w:tblCellMar>
            <w:top w:w="0" w:type="dxa"/>
            <w:left w:w="0" w:type="dxa"/>
            <w:bottom w:w="0" w:type="dxa"/>
            <w:right w:w="0" w:type="dxa"/>
          </w:tblCellMar>
        </w:tblPrEx>
        <w:trPr>
          <w:trHeight w:val="497" w:hRule="atLeast"/>
        </w:trPr>
        <w:tc>
          <w:tcPr>
            <w:tcW w:w="175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应聘单位及岗位代码</w:t>
            </w:r>
          </w:p>
        </w:tc>
        <w:tc>
          <w:tcPr>
            <w:tcW w:w="8497" w:type="dxa"/>
            <w:gridSpan w:val="10"/>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r>
      <w:tr>
        <w:tblPrEx>
          <w:tblLayout w:type="fixed"/>
          <w:tblCellMar>
            <w:top w:w="0" w:type="dxa"/>
            <w:left w:w="0" w:type="dxa"/>
            <w:bottom w:w="0" w:type="dxa"/>
            <w:right w:w="0" w:type="dxa"/>
          </w:tblCellMar>
        </w:tblPrEx>
        <w:trPr>
          <w:trHeight w:val="580" w:hRule="atLeast"/>
        </w:trPr>
        <w:tc>
          <w:tcPr>
            <w:tcW w:w="175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现在住址</w:t>
            </w:r>
          </w:p>
        </w:tc>
        <w:tc>
          <w:tcPr>
            <w:tcW w:w="3915"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164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联系电话</w:t>
            </w:r>
          </w:p>
        </w:tc>
        <w:tc>
          <w:tcPr>
            <w:tcW w:w="2933" w:type="dxa"/>
            <w:gridSpan w:val="3"/>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r>
      <w:tr>
        <w:tblPrEx>
          <w:tblLayout w:type="fixed"/>
          <w:tblCellMar>
            <w:top w:w="0" w:type="dxa"/>
            <w:left w:w="0" w:type="dxa"/>
            <w:bottom w:w="0" w:type="dxa"/>
            <w:right w:w="0" w:type="dxa"/>
          </w:tblCellMar>
        </w:tblPrEx>
        <w:trPr>
          <w:trHeight w:val="580" w:hRule="atLeast"/>
        </w:trPr>
        <w:tc>
          <w:tcPr>
            <w:tcW w:w="1754" w:type="dxa"/>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现有学历</w:t>
            </w:r>
            <w:r>
              <w:rPr>
                <w:rFonts w:hint="default" w:ascii="Times New Roman" w:hAnsi="Times New Roman" w:eastAsia="宋体" w:cs="Times New Roman"/>
                <w:kern w:val="0"/>
                <w:sz w:val="24"/>
                <w:szCs w:val="24"/>
              </w:rPr>
              <w:br w:type="textWrapping"/>
            </w:r>
            <w:r>
              <w:rPr>
                <w:rFonts w:hint="default" w:ascii="Times New Roman" w:hAnsi="Times New Roman" w:eastAsia="宋体" w:cs="Times New Roman"/>
                <w:kern w:val="0"/>
                <w:sz w:val="24"/>
                <w:szCs w:val="24"/>
              </w:rPr>
              <w:t>  学位</w:t>
            </w:r>
          </w:p>
        </w:tc>
        <w:tc>
          <w:tcPr>
            <w:tcW w:w="3915"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1649"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就读院校及专业</w:t>
            </w:r>
          </w:p>
        </w:tc>
        <w:tc>
          <w:tcPr>
            <w:tcW w:w="2933" w:type="dxa"/>
            <w:gridSpan w:val="3"/>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r>
      <w:tr>
        <w:tblPrEx>
          <w:tblLayout w:type="fixed"/>
          <w:tblCellMar>
            <w:top w:w="0" w:type="dxa"/>
            <w:left w:w="0" w:type="dxa"/>
            <w:bottom w:w="0" w:type="dxa"/>
            <w:right w:w="0" w:type="dxa"/>
          </w:tblCellMar>
        </w:tblPrEx>
        <w:trPr>
          <w:trHeight w:val="717" w:hRule="atLeast"/>
        </w:trPr>
        <w:tc>
          <w:tcPr>
            <w:tcW w:w="1754" w:type="dxa"/>
            <w:tcBorders>
              <w:top w:val="nil"/>
              <w:left w:val="single" w:color="auto" w:sz="6" w:space="0"/>
              <w:bottom w:val="single" w:color="auto" w:sz="4"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执业资格名称</w:t>
            </w:r>
          </w:p>
        </w:tc>
        <w:tc>
          <w:tcPr>
            <w:tcW w:w="3915" w:type="dxa"/>
            <w:gridSpan w:val="5"/>
            <w:tcBorders>
              <w:top w:val="nil"/>
              <w:left w:val="nil"/>
              <w:bottom w:val="single" w:color="auto" w:sz="4"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1649" w:type="dxa"/>
            <w:gridSpan w:val="2"/>
            <w:tcBorders>
              <w:top w:val="nil"/>
              <w:left w:val="nil"/>
              <w:bottom w:val="single" w:color="auto" w:sz="4"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执业资格证书取得时间</w:t>
            </w:r>
          </w:p>
        </w:tc>
        <w:tc>
          <w:tcPr>
            <w:tcW w:w="2933" w:type="dxa"/>
            <w:gridSpan w:val="3"/>
            <w:tcBorders>
              <w:top w:val="nil"/>
              <w:left w:val="nil"/>
              <w:bottom w:val="single" w:color="auto" w:sz="4" w:space="0"/>
              <w:right w:val="single" w:color="000000"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r>
      <w:tr>
        <w:tblPrEx>
          <w:tblLayout w:type="fixed"/>
          <w:tblCellMar>
            <w:top w:w="0" w:type="dxa"/>
            <w:left w:w="0" w:type="dxa"/>
            <w:bottom w:w="0" w:type="dxa"/>
            <w:right w:w="0" w:type="dxa"/>
          </w:tblCellMar>
        </w:tblPrEx>
        <w:trPr>
          <w:trHeight w:val="4178" w:hRule="atLeast"/>
        </w:trPr>
        <w:tc>
          <w:tcPr>
            <w:tcW w:w="1754"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240" w:after="240" w:line="555" w:lineRule="atLeast"/>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获得荣誉和职称（技术）资格证书</w:t>
            </w:r>
          </w:p>
        </w:tc>
        <w:tc>
          <w:tcPr>
            <w:tcW w:w="8497" w:type="dxa"/>
            <w:gridSpan w:val="10"/>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p>
            <w:pPr>
              <w:widowControl/>
              <w:jc w:val="left"/>
              <w:rPr>
                <w:rFonts w:hint="default" w:ascii="Times New Roman" w:hAnsi="Times New Roman" w:eastAsia="宋体" w:cs="Times New Roman"/>
                <w:kern w:val="0"/>
                <w:sz w:val="24"/>
                <w:szCs w:val="24"/>
              </w:rPr>
            </w:pPr>
          </w:p>
          <w:p>
            <w:pPr>
              <w:widowControl/>
              <w:jc w:val="left"/>
              <w:rPr>
                <w:rFonts w:hint="default" w:ascii="Times New Roman" w:hAnsi="Times New Roman" w:eastAsia="宋体" w:cs="Times New Roman"/>
                <w:kern w:val="0"/>
                <w:sz w:val="24"/>
                <w:szCs w:val="24"/>
              </w:rPr>
            </w:pPr>
          </w:p>
          <w:p>
            <w:pPr>
              <w:widowControl/>
              <w:jc w:val="left"/>
              <w:rPr>
                <w:rFonts w:hint="default" w:ascii="Times New Roman" w:hAnsi="Times New Roman" w:eastAsia="宋体" w:cs="Times New Roman"/>
                <w:kern w:val="0"/>
                <w:sz w:val="24"/>
                <w:szCs w:val="24"/>
              </w:rPr>
            </w:pPr>
          </w:p>
          <w:p>
            <w:pPr>
              <w:widowControl/>
              <w:jc w:val="left"/>
              <w:rPr>
                <w:rFonts w:hint="default" w:ascii="Times New Roman" w:hAnsi="Times New Roman" w:eastAsia="宋体" w:cs="Times New Roman"/>
                <w:kern w:val="0"/>
                <w:sz w:val="24"/>
                <w:szCs w:val="24"/>
              </w:rPr>
            </w:pPr>
          </w:p>
          <w:p>
            <w:pPr>
              <w:widowControl/>
              <w:jc w:val="left"/>
              <w:rPr>
                <w:rFonts w:hint="default" w:ascii="Times New Roman" w:hAnsi="Times New Roman" w:eastAsia="宋体" w:cs="Times New Roman"/>
                <w:kern w:val="0"/>
                <w:sz w:val="24"/>
                <w:szCs w:val="24"/>
              </w:rPr>
            </w:pPr>
          </w:p>
          <w:p>
            <w:pPr>
              <w:widowControl/>
              <w:jc w:val="left"/>
              <w:rPr>
                <w:rFonts w:hint="default" w:ascii="Times New Roman" w:hAnsi="Times New Roman" w:eastAsia="宋体" w:cs="Times New Roman"/>
                <w:kern w:val="0"/>
                <w:sz w:val="24"/>
                <w:szCs w:val="24"/>
              </w:rPr>
            </w:pPr>
          </w:p>
          <w:p>
            <w:pPr>
              <w:widowControl/>
              <w:jc w:val="left"/>
              <w:rPr>
                <w:rFonts w:hint="default" w:ascii="Times New Roman" w:hAnsi="Times New Roman" w:eastAsia="宋体" w:cs="Times New Roman"/>
                <w:kern w:val="0"/>
                <w:sz w:val="24"/>
                <w:szCs w:val="24"/>
              </w:rPr>
            </w:pPr>
          </w:p>
          <w:p>
            <w:pPr>
              <w:widowControl/>
              <w:jc w:val="left"/>
              <w:rPr>
                <w:rFonts w:hint="default" w:ascii="Times New Roman" w:hAnsi="Times New Roman" w:eastAsia="宋体" w:cs="Times New Roman"/>
                <w:kern w:val="0"/>
                <w:sz w:val="24"/>
                <w:szCs w:val="24"/>
              </w:rPr>
            </w:pPr>
          </w:p>
          <w:p>
            <w:pPr>
              <w:widowControl/>
              <w:jc w:val="left"/>
              <w:rPr>
                <w:rFonts w:hint="default" w:ascii="Times New Roman" w:hAnsi="Times New Roman" w:eastAsia="宋体" w:cs="Times New Roman"/>
                <w:kern w:val="0"/>
                <w:sz w:val="24"/>
                <w:szCs w:val="24"/>
              </w:rPr>
            </w:pPr>
          </w:p>
          <w:p>
            <w:pPr>
              <w:widowControl/>
              <w:jc w:val="left"/>
              <w:rPr>
                <w:rFonts w:hint="default" w:ascii="Times New Roman" w:hAnsi="Times New Roman" w:eastAsia="宋体" w:cs="Times New Roman"/>
                <w:kern w:val="0"/>
                <w:sz w:val="24"/>
                <w:szCs w:val="24"/>
              </w:rPr>
            </w:pPr>
          </w:p>
          <w:p>
            <w:pPr>
              <w:widowControl/>
              <w:jc w:val="left"/>
              <w:rPr>
                <w:rFonts w:hint="default" w:ascii="Times New Roman" w:hAnsi="Times New Roman" w:eastAsia="宋体" w:cs="Times New Roman"/>
                <w:kern w:val="0"/>
                <w:sz w:val="24"/>
                <w:szCs w:val="24"/>
              </w:rPr>
            </w:pPr>
          </w:p>
          <w:p>
            <w:pPr>
              <w:widowControl/>
              <w:jc w:val="left"/>
              <w:rPr>
                <w:rFonts w:hint="default" w:ascii="Times New Roman" w:hAnsi="Times New Roman" w:eastAsia="宋体" w:cs="Times New Roman"/>
                <w:kern w:val="0"/>
                <w:sz w:val="24"/>
                <w:szCs w:val="24"/>
              </w:rPr>
            </w:pPr>
          </w:p>
          <w:p>
            <w:pPr>
              <w:widowControl/>
              <w:jc w:val="left"/>
              <w:rPr>
                <w:rFonts w:hint="default" w:ascii="Times New Roman" w:hAnsi="Times New Roman" w:eastAsia="宋体" w:cs="Times New Roman"/>
                <w:kern w:val="0"/>
                <w:sz w:val="24"/>
                <w:szCs w:val="24"/>
              </w:rPr>
            </w:pPr>
          </w:p>
          <w:p>
            <w:pPr>
              <w:widowControl/>
              <w:jc w:val="left"/>
              <w:rPr>
                <w:rFonts w:hint="default" w:ascii="Times New Roman" w:hAnsi="Times New Roman" w:eastAsia="宋体" w:cs="Times New Roman"/>
                <w:kern w:val="0"/>
                <w:sz w:val="24"/>
                <w:szCs w:val="24"/>
              </w:rPr>
            </w:pPr>
          </w:p>
        </w:tc>
      </w:tr>
      <w:tr>
        <w:tblPrEx>
          <w:tblLayout w:type="fixed"/>
          <w:tblCellMar>
            <w:top w:w="0" w:type="dxa"/>
            <w:left w:w="0" w:type="dxa"/>
            <w:bottom w:w="0" w:type="dxa"/>
            <w:right w:w="0" w:type="dxa"/>
          </w:tblCellMar>
        </w:tblPrEx>
        <w:trPr>
          <w:trHeight w:val="795" w:hRule="atLeast"/>
        </w:trPr>
        <w:tc>
          <w:tcPr>
            <w:tcW w:w="1754" w:type="dxa"/>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240" w:after="240" w:line="555" w:lineRule="atLeast"/>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个人特长</w:t>
            </w:r>
            <w:r>
              <w:rPr>
                <w:rFonts w:hint="default" w:ascii="Times New Roman" w:hAnsi="Times New Roman" w:eastAsia="宋体" w:cs="Times New Roman"/>
                <w:kern w:val="0"/>
                <w:sz w:val="24"/>
                <w:szCs w:val="24"/>
              </w:rPr>
              <w:br w:type="textWrapping"/>
            </w:r>
            <w:r>
              <w:rPr>
                <w:rFonts w:hint="default" w:ascii="Times New Roman" w:hAnsi="Times New Roman" w:eastAsia="宋体" w:cs="Times New Roman"/>
                <w:kern w:val="0"/>
                <w:sz w:val="24"/>
                <w:szCs w:val="24"/>
              </w:rPr>
              <w:t>  及自我评价</w:t>
            </w:r>
          </w:p>
        </w:tc>
        <w:tc>
          <w:tcPr>
            <w:tcW w:w="8497" w:type="dxa"/>
            <w:gridSpan w:val="10"/>
            <w:vMerge w:val="restart"/>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r>
      <w:tr>
        <w:tblPrEx>
          <w:tblLayout w:type="fixed"/>
          <w:tblCellMar>
            <w:top w:w="0" w:type="dxa"/>
            <w:left w:w="0" w:type="dxa"/>
            <w:bottom w:w="0" w:type="dxa"/>
            <w:right w:w="0" w:type="dxa"/>
          </w:tblCellMar>
        </w:tblPrEx>
        <w:trPr>
          <w:trHeight w:val="555" w:hRule="atLeast"/>
        </w:trPr>
        <w:tc>
          <w:tcPr>
            <w:tcW w:w="1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szCs w:val="24"/>
              </w:rPr>
            </w:pPr>
          </w:p>
        </w:tc>
        <w:tc>
          <w:tcPr>
            <w:tcW w:w="8497"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szCs w:val="24"/>
              </w:rPr>
            </w:pPr>
          </w:p>
        </w:tc>
      </w:tr>
      <w:tr>
        <w:tblPrEx>
          <w:tblLayout w:type="fixed"/>
          <w:tblCellMar>
            <w:top w:w="0" w:type="dxa"/>
            <w:left w:w="0" w:type="dxa"/>
            <w:bottom w:w="0" w:type="dxa"/>
            <w:right w:w="0" w:type="dxa"/>
          </w:tblCellMar>
        </w:tblPrEx>
        <w:trPr>
          <w:trHeight w:val="2496" w:hRule="atLeast"/>
        </w:trPr>
        <w:tc>
          <w:tcPr>
            <w:tcW w:w="1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szCs w:val="24"/>
              </w:rPr>
            </w:pPr>
          </w:p>
        </w:tc>
        <w:tc>
          <w:tcPr>
            <w:tcW w:w="8497" w:type="dxa"/>
            <w:gridSpan w:val="10"/>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kern w:val="0"/>
                <w:sz w:val="24"/>
                <w:szCs w:val="24"/>
              </w:rPr>
            </w:pPr>
          </w:p>
        </w:tc>
      </w:tr>
      <w:tr>
        <w:tblPrEx>
          <w:tblLayout w:type="fixed"/>
          <w:tblCellMar>
            <w:top w:w="0" w:type="dxa"/>
            <w:left w:w="0" w:type="dxa"/>
            <w:bottom w:w="0" w:type="dxa"/>
            <w:right w:w="0" w:type="dxa"/>
          </w:tblCellMar>
        </w:tblPrEx>
        <w:trPr>
          <w:trHeight w:val="480" w:hRule="atLeast"/>
        </w:trPr>
        <w:tc>
          <w:tcPr>
            <w:tcW w:w="10251" w:type="dxa"/>
            <w:gridSpan w:val="11"/>
            <w:tcBorders>
              <w:top w:val="single" w:color="auto" w:sz="4"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学习（工作）经历</w:t>
            </w:r>
          </w:p>
        </w:tc>
      </w:tr>
      <w:tr>
        <w:tblPrEx>
          <w:tblLayout w:type="fixed"/>
          <w:tblCellMar>
            <w:top w:w="0" w:type="dxa"/>
            <w:left w:w="0" w:type="dxa"/>
            <w:bottom w:w="0" w:type="dxa"/>
            <w:right w:w="0" w:type="dxa"/>
          </w:tblCellMar>
        </w:tblPrEx>
        <w:trPr>
          <w:trHeight w:val="480" w:hRule="atLeast"/>
        </w:trPr>
        <w:tc>
          <w:tcPr>
            <w:tcW w:w="3881"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起止时间</w:t>
            </w:r>
          </w:p>
        </w:tc>
        <w:tc>
          <w:tcPr>
            <w:tcW w:w="6370" w:type="dxa"/>
            <w:gridSpan w:val="7"/>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单位及职务</w:t>
            </w:r>
          </w:p>
        </w:tc>
      </w:tr>
      <w:tr>
        <w:tblPrEx>
          <w:tblLayout w:type="fixed"/>
          <w:tblCellMar>
            <w:top w:w="0" w:type="dxa"/>
            <w:left w:w="0" w:type="dxa"/>
            <w:bottom w:w="0" w:type="dxa"/>
            <w:right w:w="0" w:type="dxa"/>
          </w:tblCellMar>
        </w:tblPrEx>
        <w:trPr>
          <w:trHeight w:val="480" w:hRule="atLeast"/>
        </w:trPr>
        <w:tc>
          <w:tcPr>
            <w:tcW w:w="3881"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6370" w:type="dxa"/>
            <w:gridSpan w:val="7"/>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r>
      <w:tr>
        <w:tblPrEx>
          <w:tblLayout w:type="fixed"/>
          <w:tblCellMar>
            <w:top w:w="0" w:type="dxa"/>
            <w:left w:w="0" w:type="dxa"/>
            <w:bottom w:w="0" w:type="dxa"/>
            <w:right w:w="0" w:type="dxa"/>
          </w:tblCellMar>
        </w:tblPrEx>
        <w:trPr>
          <w:trHeight w:val="480" w:hRule="atLeast"/>
        </w:trPr>
        <w:tc>
          <w:tcPr>
            <w:tcW w:w="3881"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6370" w:type="dxa"/>
            <w:gridSpan w:val="7"/>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r>
      <w:tr>
        <w:tblPrEx>
          <w:tblLayout w:type="fixed"/>
          <w:tblCellMar>
            <w:top w:w="0" w:type="dxa"/>
            <w:left w:w="0" w:type="dxa"/>
            <w:bottom w:w="0" w:type="dxa"/>
            <w:right w:w="0" w:type="dxa"/>
          </w:tblCellMar>
        </w:tblPrEx>
        <w:trPr>
          <w:trHeight w:val="480" w:hRule="atLeast"/>
        </w:trPr>
        <w:tc>
          <w:tcPr>
            <w:tcW w:w="3881"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6370" w:type="dxa"/>
            <w:gridSpan w:val="7"/>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r>
      <w:tr>
        <w:tblPrEx>
          <w:tblLayout w:type="fixed"/>
          <w:tblCellMar>
            <w:top w:w="0" w:type="dxa"/>
            <w:left w:w="0" w:type="dxa"/>
            <w:bottom w:w="0" w:type="dxa"/>
            <w:right w:w="0" w:type="dxa"/>
          </w:tblCellMar>
        </w:tblPrEx>
        <w:trPr>
          <w:trHeight w:val="480" w:hRule="atLeast"/>
        </w:trPr>
        <w:tc>
          <w:tcPr>
            <w:tcW w:w="3881"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6370" w:type="dxa"/>
            <w:gridSpan w:val="7"/>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r>
      <w:tr>
        <w:tblPrEx>
          <w:tblLayout w:type="fixed"/>
          <w:tblCellMar>
            <w:top w:w="0" w:type="dxa"/>
            <w:left w:w="0" w:type="dxa"/>
            <w:bottom w:w="0" w:type="dxa"/>
            <w:right w:w="0" w:type="dxa"/>
          </w:tblCellMar>
        </w:tblPrEx>
        <w:trPr>
          <w:trHeight w:val="480" w:hRule="atLeast"/>
        </w:trPr>
        <w:tc>
          <w:tcPr>
            <w:tcW w:w="10251" w:type="dxa"/>
            <w:gridSpan w:val="11"/>
            <w:tcBorders>
              <w:top w:val="nil"/>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家庭成员</w:t>
            </w:r>
          </w:p>
        </w:tc>
      </w:tr>
      <w:tr>
        <w:tblPrEx>
          <w:tblLayout w:type="fixed"/>
          <w:tblCellMar>
            <w:top w:w="0" w:type="dxa"/>
            <w:left w:w="0" w:type="dxa"/>
            <w:bottom w:w="0" w:type="dxa"/>
            <w:right w:w="0" w:type="dxa"/>
          </w:tblCellMar>
        </w:tblPrEx>
        <w:trPr>
          <w:trHeight w:val="480" w:hRule="atLeast"/>
        </w:trPr>
        <w:tc>
          <w:tcPr>
            <w:tcW w:w="2634"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姓名</w:t>
            </w:r>
          </w:p>
        </w:tc>
        <w:tc>
          <w:tcPr>
            <w:tcW w:w="124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关系</w:t>
            </w:r>
          </w:p>
        </w:tc>
        <w:tc>
          <w:tcPr>
            <w:tcW w:w="4466"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单位、住址、职业</w:t>
            </w:r>
          </w:p>
        </w:tc>
        <w:tc>
          <w:tcPr>
            <w:tcW w:w="1904"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联系电话</w:t>
            </w:r>
          </w:p>
        </w:tc>
      </w:tr>
      <w:tr>
        <w:tblPrEx>
          <w:tblLayout w:type="fixed"/>
          <w:tblCellMar>
            <w:top w:w="0" w:type="dxa"/>
            <w:left w:w="0" w:type="dxa"/>
            <w:bottom w:w="0" w:type="dxa"/>
            <w:right w:w="0" w:type="dxa"/>
          </w:tblCellMar>
        </w:tblPrEx>
        <w:trPr>
          <w:trHeight w:val="480" w:hRule="atLeast"/>
        </w:trPr>
        <w:tc>
          <w:tcPr>
            <w:tcW w:w="2634"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124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4466"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1904"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r>
      <w:tr>
        <w:tblPrEx>
          <w:tblLayout w:type="fixed"/>
          <w:tblCellMar>
            <w:top w:w="0" w:type="dxa"/>
            <w:left w:w="0" w:type="dxa"/>
            <w:bottom w:w="0" w:type="dxa"/>
            <w:right w:w="0" w:type="dxa"/>
          </w:tblCellMar>
        </w:tblPrEx>
        <w:trPr>
          <w:trHeight w:val="480" w:hRule="atLeast"/>
        </w:trPr>
        <w:tc>
          <w:tcPr>
            <w:tcW w:w="2634"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124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4466"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1904"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r>
      <w:tr>
        <w:tblPrEx>
          <w:tblLayout w:type="fixed"/>
          <w:tblCellMar>
            <w:top w:w="0" w:type="dxa"/>
            <w:left w:w="0" w:type="dxa"/>
            <w:bottom w:w="0" w:type="dxa"/>
            <w:right w:w="0" w:type="dxa"/>
          </w:tblCellMar>
        </w:tblPrEx>
        <w:trPr>
          <w:trHeight w:val="480" w:hRule="atLeast"/>
        </w:trPr>
        <w:tc>
          <w:tcPr>
            <w:tcW w:w="2634"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124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4466"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1904"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r>
      <w:tr>
        <w:tblPrEx>
          <w:tblLayout w:type="fixed"/>
          <w:tblCellMar>
            <w:top w:w="0" w:type="dxa"/>
            <w:left w:w="0" w:type="dxa"/>
            <w:bottom w:w="0" w:type="dxa"/>
            <w:right w:w="0" w:type="dxa"/>
          </w:tblCellMar>
        </w:tblPrEx>
        <w:trPr>
          <w:trHeight w:val="480" w:hRule="atLeast"/>
        </w:trPr>
        <w:tc>
          <w:tcPr>
            <w:tcW w:w="2634" w:type="dxa"/>
            <w:gridSpan w:val="2"/>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highlight w:val="yellow"/>
              </w:rPr>
            </w:pPr>
          </w:p>
        </w:tc>
        <w:tc>
          <w:tcPr>
            <w:tcW w:w="1247"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highlight w:val="yellow"/>
              </w:rPr>
            </w:pPr>
          </w:p>
        </w:tc>
        <w:tc>
          <w:tcPr>
            <w:tcW w:w="4466" w:type="dxa"/>
            <w:gridSpan w:val="5"/>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c>
          <w:tcPr>
            <w:tcW w:w="1904" w:type="dxa"/>
            <w:gridSpan w:val="2"/>
            <w:tcBorders>
              <w:top w:val="nil"/>
              <w:left w:val="nil"/>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r>
      <w:tr>
        <w:tblPrEx>
          <w:tblLayout w:type="fixed"/>
          <w:tblCellMar>
            <w:top w:w="0" w:type="dxa"/>
            <w:left w:w="0" w:type="dxa"/>
            <w:bottom w:w="0" w:type="dxa"/>
            <w:right w:w="0" w:type="dxa"/>
          </w:tblCellMar>
        </w:tblPrEx>
        <w:trPr>
          <w:trHeight w:val="480" w:hRule="atLeast"/>
        </w:trPr>
        <w:tc>
          <w:tcPr>
            <w:tcW w:w="3881" w:type="dxa"/>
            <w:gridSpan w:val="4"/>
            <w:tcBorders>
              <w:top w:val="nil"/>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highlight w:val="yellow"/>
              </w:rPr>
            </w:pPr>
            <w:r>
              <w:rPr>
                <w:rFonts w:hint="default" w:ascii="Times New Roman" w:hAnsi="Times New Roman" w:eastAsia="宋体" w:cs="Times New Roman"/>
                <w:kern w:val="0"/>
                <w:sz w:val="24"/>
                <w:szCs w:val="24"/>
              </w:rPr>
              <w:t>是否服从调配</w:t>
            </w:r>
          </w:p>
        </w:tc>
        <w:tc>
          <w:tcPr>
            <w:tcW w:w="6370" w:type="dxa"/>
            <w:gridSpan w:val="7"/>
            <w:tcBorders>
              <w:top w:val="nil"/>
              <w:left w:val="nil"/>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p>
        </w:tc>
      </w:tr>
      <w:tr>
        <w:tblPrEx>
          <w:tblLayout w:type="fixed"/>
          <w:tblCellMar>
            <w:top w:w="0" w:type="dxa"/>
            <w:left w:w="0" w:type="dxa"/>
            <w:bottom w:w="0" w:type="dxa"/>
            <w:right w:w="0" w:type="dxa"/>
          </w:tblCellMar>
        </w:tblPrEx>
        <w:trPr>
          <w:trHeight w:val="480" w:hRule="atLeast"/>
        </w:trPr>
        <w:tc>
          <w:tcPr>
            <w:tcW w:w="10251" w:type="dxa"/>
            <w:gridSpan w:val="11"/>
            <w:tcBorders>
              <w:top w:val="nil"/>
              <w:left w:val="single" w:color="auto" w:sz="6" w:space="0"/>
              <w:bottom w:val="single" w:color="auto" w:sz="6" w:space="0"/>
              <w:right w:val="single" w:color="000000" w:sz="6" w:space="0"/>
            </w:tcBorders>
            <w:shd w:val="clear" w:color="auto" w:fill="auto"/>
            <w:tcMar>
              <w:top w:w="0" w:type="dxa"/>
              <w:left w:w="105" w:type="dxa"/>
              <w:bottom w:w="0" w:type="dxa"/>
              <w:right w:w="105" w:type="dxa"/>
            </w:tcMar>
            <w:vAlign w:val="center"/>
          </w:tcPr>
          <w:p>
            <w:pPr>
              <w:widowControl/>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以上情况属实。本人签字：</w:t>
            </w:r>
          </w:p>
        </w:tc>
      </w:tr>
    </w:tbl>
    <w:p>
      <w:pPr>
        <w:spacing w:before="75" w:after="75" w:line="600" w:lineRule="atLeast"/>
        <w:rPr>
          <w:rFonts w:hint="default" w:ascii="Times New Roman" w:hAnsi="Times New Roman" w:cs="Times New Roman"/>
        </w:rPr>
      </w:pPr>
    </w:p>
    <w:sectPr>
      <w:footerReference r:id="rId3" w:type="default"/>
      <w:pgSz w:w="11906" w:h="16838"/>
      <w:pgMar w:top="1247" w:right="1474" w:bottom="124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pPr>
                <w:r>
                  <w:rPr>
                    <w:rStyle w:val="10"/>
                    <w:rFonts w:hint="eastAsia" w:ascii="仿宋_GB2312" w:eastAsia="仿宋_GB2312"/>
                    <w:sz w:val="28"/>
                    <w:szCs w:val="28"/>
                  </w:rPr>
                  <w:t>—</w:t>
                </w:r>
                <w:r>
                  <w:rPr>
                    <w:sz w:val="28"/>
                    <w:szCs w:val="28"/>
                  </w:rPr>
                  <w:fldChar w:fldCharType="begin"/>
                </w:r>
                <w:r>
                  <w:rPr>
                    <w:rStyle w:val="10"/>
                    <w:sz w:val="28"/>
                    <w:szCs w:val="28"/>
                  </w:rPr>
                  <w:instrText xml:space="preserve">PAGE  </w:instrText>
                </w:r>
                <w:r>
                  <w:rPr>
                    <w:sz w:val="28"/>
                    <w:szCs w:val="28"/>
                  </w:rPr>
                  <w:fldChar w:fldCharType="separate"/>
                </w:r>
                <w:r>
                  <w:rPr>
                    <w:rStyle w:val="10"/>
                    <w:sz w:val="28"/>
                    <w:szCs w:val="28"/>
                  </w:rPr>
                  <w:t>10</w:t>
                </w:r>
                <w:r>
                  <w:rPr>
                    <w:sz w:val="28"/>
                    <w:szCs w:val="28"/>
                  </w:rPr>
                  <w:fldChar w:fldCharType="end"/>
                </w:r>
                <w:r>
                  <w:rPr>
                    <w:rStyle w:val="10"/>
                    <w:rFonts w:hint="eastAsia" w:ascii="仿宋_GB2312" w:eastAsia="仿宋_GB2312"/>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22068"/>
    <w:rsid w:val="0000055F"/>
    <w:rsid w:val="00002ED2"/>
    <w:rsid w:val="00004B8D"/>
    <w:rsid w:val="0001040B"/>
    <w:rsid w:val="000131AD"/>
    <w:rsid w:val="00016E7C"/>
    <w:rsid w:val="00020F96"/>
    <w:rsid w:val="00022FFA"/>
    <w:rsid w:val="00035E6F"/>
    <w:rsid w:val="00044053"/>
    <w:rsid w:val="00053615"/>
    <w:rsid w:val="00054580"/>
    <w:rsid w:val="00065863"/>
    <w:rsid w:val="000702FA"/>
    <w:rsid w:val="000704DA"/>
    <w:rsid w:val="0007439C"/>
    <w:rsid w:val="00076156"/>
    <w:rsid w:val="00080622"/>
    <w:rsid w:val="0008076C"/>
    <w:rsid w:val="000819C5"/>
    <w:rsid w:val="00085D80"/>
    <w:rsid w:val="000937B6"/>
    <w:rsid w:val="000972CE"/>
    <w:rsid w:val="000A40CF"/>
    <w:rsid w:val="000A7B51"/>
    <w:rsid w:val="000C55BD"/>
    <w:rsid w:val="000C5821"/>
    <w:rsid w:val="000D34F4"/>
    <w:rsid w:val="000D488C"/>
    <w:rsid w:val="000E10C4"/>
    <w:rsid w:val="000E38F3"/>
    <w:rsid w:val="000E6C50"/>
    <w:rsid w:val="0010636A"/>
    <w:rsid w:val="00132D31"/>
    <w:rsid w:val="001334D5"/>
    <w:rsid w:val="001448F6"/>
    <w:rsid w:val="001453A6"/>
    <w:rsid w:val="00145506"/>
    <w:rsid w:val="00152936"/>
    <w:rsid w:val="0015793B"/>
    <w:rsid w:val="00167832"/>
    <w:rsid w:val="00183131"/>
    <w:rsid w:val="00191575"/>
    <w:rsid w:val="00195D92"/>
    <w:rsid w:val="001D4714"/>
    <w:rsid w:val="001D61E9"/>
    <w:rsid w:val="001F5A74"/>
    <w:rsid w:val="00200EB9"/>
    <w:rsid w:val="002033F0"/>
    <w:rsid w:val="00212C7E"/>
    <w:rsid w:val="00213EC1"/>
    <w:rsid w:val="0022454B"/>
    <w:rsid w:val="00224A18"/>
    <w:rsid w:val="0023168A"/>
    <w:rsid w:val="0024235C"/>
    <w:rsid w:val="00245009"/>
    <w:rsid w:val="00262BE3"/>
    <w:rsid w:val="00265C65"/>
    <w:rsid w:val="002724B3"/>
    <w:rsid w:val="002808A8"/>
    <w:rsid w:val="00281060"/>
    <w:rsid w:val="00290594"/>
    <w:rsid w:val="002A21EB"/>
    <w:rsid w:val="002A4225"/>
    <w:rsid w:val="002B0F2F"/>
    <w:rsid w:val="002D0DA9"/>
    <w:rsid w:val="002D6C6C"/>
    <w:rsid w:val="002E0F2E"/>
    <w:rsid w:val="002E4152"/>
    <w:rsid w:val="002E6F95"/>
    <w:rsid w:val="002F1222"/>
    <w:rsid w:val="00301F6B"/>
    <w:rsid w:val="00307719"/>
    <w:rsid w:val="0031424E"/>
    <w:rsid w:val="003211F3"/>
    <w:rsid w:val="0032432F"/>
    <w:rsid w:val="003321A8"/>
    <w:rsid w:val="00334162"/>
    <w:rsid w:val="00334EBA"/>
    <w:rsid w:val="00337FBC"/>
    <w:rsid w:val="00340051"/>
    <w:rsid w:val="00355DD9"/>
    <w:rsid w:val="00362605"/>
    <w:rsid w:val="003733F1"/>
    <w:rsid w:val="00397B9F"/>
    <w:rsid w:val="003A2024"/>
    <w:rsid w:val="003A64A8"/>
    <w:rsid w:val="003B0DDC"/>
    <w:rsid w:val="003B4F2F"/>
    <w:rsid w:val="003D3DE4"/>
    <w:rsid w:val="003E2650"/>
    <w:rsid w:val="003F5706"/>
    <w:rsid w:val="004174F4"/>
    <w:rsid w:val="00420492"/>
    <w:rsid w:val="004271B0"/>
    <w:rsid w:val="00430C81"/>
    <w:rsid w:val="00436C97"/>
    <w:rsid w:val="004526C9"/>
    <w:rsid w:val="00456E05"/>
    <w:rsid w:val="00464692"/>
    <w:rsid w:val="00465B42"/>
    <w:rsid w:val="0049135E"/>
    <w:rsid w:val="0049284F"/>
    <w:rsid w:val="004A06EA"/>
    <w:rsid w:val="004B0806"/>
    <w:rsid w:val="004B6F99"/>
    <w:rsid w:val="004C1C16"/>
    <w:rsid w:val="004C388A"/>
    <w:rsid w:val="004D5FF9"/>
    <w:rsid w:val="004E46C3"/>
    <w:rsid w:val="004E4CEA"/>
    <w:rsid w:val="004E52D0"/>
    <w:rsid w:val="004F05BF"/>
    <w:rsid w:val="00501DE5"/>
    <w:rsid w:val="00502977"/>
    <w:rsid w:val="00504DEC"/>
    <w:rsid w:val="005113D4"/>
    <w:rsid w:val="005215BA"/>
    <w:rsid w:val="00523184"/>
    <w:rsid w:val="00527638"/>
    <w:rsid w:val="00533140"/>
    <w:rsid w:val="005403E9"/>
    <w:rsid w:val="0054248C"/>
    <w:rsid w:val="00566809"/>
    <w:rsid w:val="00567723"/>
    <w:rsid w:val="00571197"/>
    <w:rsid w:val="00573BBF"/>
    <w:rsid w:val="00576765"/>
    <w:rsid w:val="005777A8"/>
    <w:rsid w:val="00581FAE"/>
    <w:rsid w:val="0058779D"/>
    <w:rsid w:val="00587A88"/>
    <w:rsid w:val="0059211B"/>
    <w:rsid w:val="005A1C14"/>
    <w:rsid w:val="005C122D"/>
    <w:rsid w:val="005F6135"/>
    <w:rsid w:val="00604ABC"/>
    <w:rsid w:val="00604C15"/>
    <w:rsid w:val="00605623"/>
    <w:rsid w:val="00606A8C"/>
    <w:rsid w:val="006140F9"/>
    <w:rsid w:val="00614118"/>
    <w:rsid w:val="00620697"/>
    <w:rsid w:val="00622068"/>
    <w:rsid w:val="00625CC7"/>
    <w:rsid w:val="00631F34"/>
    <w:rsid w:val="00635886"/>
    <w:rsid w:val="006436D8"/>
    <w:rsid w:val="00644A8E"/>
    <w:rsid w:val="00651B4D"/>
    <w:rsid w:val="00651DE5"/>
    <w:rsid w:val="00680E88"/>
    <w:rsid w:val="00683A09"/>
    <w:rsid w:val="006C2077"/>
    <w:rsid w:val="006D4072"/>
    <w:rsid w:val="006D6BB1"/>
    <w:rsid w:val="007042B9"/>
    <w:rsid w:val="00711638"/>
    <w:rsid w:val="00720DE0"/>
    <w:rsid w:val="00720EAF"/>
    <w:rsid w:val="0072657C"/>
    <w:rsid w:val="007312CA"/>
    <w:rsid w:val="0073178A"/>
    <w:rsid w:val="007415DC"/>
    <w:rsid w:val="007657F7"/>
    <w:rsid w:val="00766856"/>
    <w:rsid w:val="00772578"/>
    <w:rsid w:val="00775B45"/>
    <w:rsid w:val="007808FE"/>
    <w:rsid w:val="00786685"/>
    <w:rsid w:val="007A0821"/>
    <w:rsid w:val="007A1164"/>
    <w:rsid w:val="007B6C8B"/>
    <w:rsid w:val="007B782E"/>
    <w:rsid w:val="007D2875"/>
    <w:rsid w:val="007E38D2"/>
    <w:rsid w:val="007F328D"/>
    <w:rsid w:val="008036D4"/>
    <w:rsid w:val="00814A38"/>
    <w:rsid w:val="0082273D"/>
    <w:rsid w:val="00824564"/>
    <w:rsid w:val="00824BD5"/>
    <w:rsid w:val="008312A0"/>
    <w:rsid w:val="008342FA"/>
    <w:rsid w:val="00834469"/>
    <w:rsid w:val="008407B9"/>
    <w:rsid w:val="0085241F"/>
    <w:rsid w:val="008554FB"/>
    <w:rsid w:val="0087157F"/>
    <w:rsid w:val="00891B4A"/>
    <w:rsid w:val="008A06B9"/>
    <w:rsid w:val="008A3EA5"/>
    <w:rsid w:val="008B26C0"/>
    <w:rsid w:val="008B7066"/>
    <w:rsid w:val="008D096D"/>
    <w:rsid w:val="008D1922"/>
    <w:rsid w:val="008D1E7F"/>
    <w:rsid w:val="008D3492"/>
    <w:rsid w:val="008E1078"/>
    <w:rsid w:val="008E5AE5"/>
    <w:rsid w:val="008E6563"/>
    <w:rsid w:val="008E6ADB"/>
    <w:rsid w:val="008E7B44"/>
    <w:rsid w:val="008F12A0"/>
    <w:rsid w:val="008F177C"/>
    <w:rsid w:val="009035EC"/>
    <w:rsid w:val="00903D87"/>
    <w:rsid w:val="00923AAE"/>
    <w:rsid w:val="0093632C"/>
    <w:rsid w:val="00943825"/>
    <w:rsid w:val="00954D53"/>
    <w:rsid w:val="00957931"/>
    <w:rsid w:val="00962184"/>
    <w:rsid w:val="00964FDD"/>
    <w:rsid w:val="00994C36"/>
    <w:rsid w:val="009962BB"/>
    <w:rsid w:val="009A1B19"/>
    <w:rsid w:val="009A29DF"/>
    <w:rsid w:val="009A473A"/>
    <w:rsid w:val="009B483A"/>
    <w:rsid w:val="009C2940"/>
    <w:rsid w:val="009C7A6D"/>
    <w:rsid w:val="009F0E2A"/>
    <w:rsid w:val="00A00C24"/>
    <w:rsid w:val="00A42F3C"/>
    <w:rsid w:val="00A43829"/>
    <w:rsid w:val="00A438F0"/>
    <w:rsid w:val="00A4462E"/>
    <w:rsid w:val="00A47C04"/>
    <w:rsid w:val="00A56F8E"/>
    <w:rsid w:val="00A60200"/>
    <w:rsid w:val="00A664A2"/>
    <w:rsid w:val="00A67480"/>
    <w:rsid w:val="00A80ED8"/>
    <w:rsid w:val="00AB3126"/>
    <w:rsid w:val="00AB32EC"/>
    <w:rsid w:val="00AC38B5"/>
    <w:rsid w:val="00AE073A"/>
    <w:rsid w:val="00AF5D27"/>
    <w:rsid w:val="00AF61B7"/>
    <w:rsid w:val="00AF7552"/>
    <w:rsid w:val="00AF786B"/>
    <w:rsid w:val="00B112EF"/>
    <w:rsid w:val="00B20415"/>
    <w:rsid w:val="00B23387"/>
    <w:rsid w:val="00B258FB"/>
    <w:rsid w:val="00B25B5F"/>
    <w:rsid w:val="00B345FB"/>
    <w:rsid w:val="00B35BC9"/>
    <w:rsid w:val="00B45D52"/>
    <w:rsid w:val="00B517BE"/>
    <w:rsid w:val="00B5322C"/>
    <w:rsid w:val="00B540B2"/>
    <w:rsid w:val="00B54230"/>
    <w:rsid w:val="00B54A25"/>
    <w:rsid w:val="00B54BEC"/>
    <w:rsid w:val="00B55A46"/>
    <w:rsid w:val="00B6196C"/>
    <w:rsid w:val="00B74FA5"/>
    <w:rsid w:val="00B7773A"/>
    <w:rsid w:val="00B86A86"/>
    <w:rsid w:val="00B911E9"/>
    <w:rsid w:val="00BA2053"/>
    <w:rsid w:val="00BA579F"/>
    <w:rsid w:val="00BB0373"/>
    <w:rsid w:val="00BB25DE"/>
    <w:rsid w:val="00BB394A"/>
    <w:rsid w:val="00BD0C6C"/>
    <w:rsid w:val="00BE1D36"/>
    <w:rsid w:val="00BE3702"/>
    <w:rsid w:val="00BE415F"/>
    <w:rsid w:val="00BE4E8C"/>
    <w:rsid w:val="00C22C9C"/>
    <w:rsid w:val="00C237A9"/>
    <w:rsid w:val="00C24FFA"/>
    <w:rsid w:val="00C27035"/>
    <w:rsid w:val="00C32B92"/>
    <w:rsid w:val="00C32D5C"/>
    <w:rsid w:val="00C365F8"/>
    <w:rsid w:val="00C4670B"/>
    <w:rsid w:val="00C53F38"/>
    <w:rsid w:val="00CA64F9"/>
    <w:rsid w:val="00CA6B2D"/>
    <w:rsid w:val="00CB503A"/>
    <w:rsid w:val="00CB66CA"/>
    <w:rsid w:val="00CC13AC"/>
    <w:rsid w:val="00CD4B0C"/>
    <w:rsid w:val="00CD4B15"/>
    <w:rsid w:val="00CD7305"/>
    <w:rsid w:val="00CE6D68"/>
    <w:rsid w:val="00CF5EF8"/>
    <w:rsid w:val="00CF653C"/>
    <w:rsid w:val="00D054F2"/>
    <w:rsid w:val="00D103B7"/>
    <w:rsid w:val="00D106D2"/>
    <w:rsid w:val="00D219B2"/>
    <w:rsid w:val="00D25337"/>
    <w:rsid w:val="00D26E01"/>
    <w:rsid w:val="00D37834"/>
    <w:rsid w:val="00D41F3E"/>
    <w:rsid w:val="00D44FC3"/>
    <w:rsid w:val="00D4684B"/>
    <w:rsid w:val="00D50753"/>
    <w:rsid w:val="00D60B33"/>
    <w:rsid w:val="00D64389"/>
    <w:rsid w:val="00D65560"/>
    <w:rsid w:val="00D70210"/>
    <w:rsid w:val="00D7674C"/>
    <w:rsid w:val="00D84BB6"/>
    <w:rsid w:val="00D87837"/>
    <w:rsid w:val="00D917A0"/>
    <w:rsid w:val="00D93C48"/>
    <w:rsid w:val="00D96B1F"/>
    <w:rsid w:val="00DC19B1"/>
    <w:rsid w:val="00DC31D8"/>
    <w:rsid w:val="00DC6769"/>
    <w:rsid w:val="00DC77B0"/>
    <w:rsid w:val="00DC7F7D"/>
    <w:rsid w:val="00DD12C1"/>
    <w:rsid w:val="00DD19DD"/>
    <w:rsid w:val="00E035F7"/>
    <w:rsid w:val="00E112E2"/>
    <w:rsid w:val="00E22752"/>
    <w:rsid w:val="00E23559"/>
    <w:rsid w:val="00E62FE2"/>
    <w:rsid w:val="00E63C08"/>
    <w:rsid w:val="00E64E2E"/>
    <w:rsid w:val="00E77BC9"/>
    <w:rsid w:val="00E844CA"/>
    <w:rsid w:val="00EA1F47"/>
    <w:rsid w:val="00ED2AD3"/>
    <w:rsid w:val="00ED6F0D"/>
    <w:rsid w:val="00EE7616"/>
    <w:rsid w:val="00EF0A50"/>
    <w:rsid w:val="00EF1170"/>
    <w:rsid w:val="00F02ECB"/>
    <w:rsid w:val="00F070FA"/>
    <w:rsid w:val="00F12EF7"/>
    <w:rsid w:val="00F40278"/>
    <w:rsid w:val="00F83DB3"/>
    <w:rsid w:val="00F846CD"/>
    <w:rsid w:val="00FA39A2"/>
    <w:rsid w:val="00FA4872"/>
    <w:rsid w:val="00FA6790"/>
    <w:rsid w:val="00FB0865"/>
    <w:rsid w:val="00FB4B3E"/>
    <w:rsid w:val="00FB5056"/>
    <w:rsid w:val="00FC0F47"/>
    <w:rsid w:val="00FC16B8"/>
    <w:rsid w:val="00FD7B1A"/>
    <w:rsid w:val="00FE065E"/>
    <w:rsid w:val="00FE14D6"/>
    <w:rsid w:val="00FE726A"/>
    <w:rsid w:val="00FF2504"/>
    <w:rsid w:val="00FF3101"/>
    <w:rsid w:val="00FF31E1"/>
    <w:rsid w:val="00FF4395"/>
    <w:rsid w:val="00FF4FDD"/>
    <w:rsid w:val="00FF58FD"/>
    <w:rsid w:val="01A713AF"/>
    <w:rsid w:val="020E13D3"/>
    <w:rsid w:val="05FB3CB8"/>
    <w:rsid w:val="06600D58"/>
    <w:rsid w:val="08AA34D8"/>
    <w:rsid w:val="0CDB1E45"/>
    <w:rsid w:val="0DA25129"/>
    <w:rsid w:val="10584F71"/>
    <w:rsid w:val="139318A1"/>
    <w:rsid w:val="14015859"/>
    <w:rsid w:val="154864E5"/>
    <w:rsid w:val="15F66A23"/>
    <w:rsid w:val="17F13670"/>
    <w:rsid w:val="19310AEC"/>
    <w:rsid w:val="19C069C8"/>
    <w:rsid w:val="1A5474CD"/>
    <w:rsid w:val="1A97708C"/>
    <w:rsid w:val="1AC8609D"/>
    <w:rsid w:val="1ACC497D"/>
    <w:rsid w:val="1BC81A14"/>
    <w:rsid w:val="1D053AD8"/>
    <w:rsid w:val="201D72FE"/>
    <w:rsid w:val="22F51BB1"/>
    <w:rsid w:val="276D2CA7"/>
    <w:rsid w:val="27C02465"/>
    <w:rsid w:val="2917337A"/>
    <w:rsid w:val="2B8B0361"/>
    <w:rsid w:val="2CBB3437"/>
    <w:rsid w:val="2D0A7BFE"/>
    <w:rsid w:val="2E4069B9"/>
    <w:rsid w:val="2F813402"/>
    <w:rsid w:val="2F95623B"/>
    <w:rsid w:val="307B59AB"/>
    <w:rsid w:val="32AF7C96"/>
    <w:rsid w:val="32D71DAC"/>
    <w:rsid w:val="3365591B"/>
    <w:rsid w:val="33E27F8A"/>
    <w:rsid w:val="34BE6598"/>
    <w:rsid w:val="34D441B4"/>
    <w:rsid w:val="35987DAA"/>
    <w:rsid w:val="362E7273"/>
    <w:rsid w:val="370928C7"/>
    <w:rsid w:val="38B66217"/>
    <w:rsid w:val="394F0937"/>
    <w:rsid w:val="3AED3EEF"/>
    <w:rsid w:val="3B71487D"/>
    <w:rsid w:val="3C046F55"/>
    <w:rsid w:val="3CD22B8C"/>
    <w:rsid w:val="3E0D4436"/>
    <w:rsid w:val="3ECF100C"/>
    <w:rsid w:val="3F4B4459"/>
    <w:rsid w:val="3FD84BB3"/>
    <w:rsid w:val="406D36FC"/>
    <w:rsid w:val="407D3702"/>
    <w:rsid w:val="41A85360"/>
    <w:rsid w:val="42E3558A"/>
    <w:rsid w:val="436F786F"/>
    <w:rsid w:val="443565C9"/>
    <w:rsid w:val="46AA47BC"/>
    <w:rsid w:val="49586FB6"/>
    <w:rsid w:val="4D9C28AE"/>
    <w:rsid w:val="4DCD65FD"/>
    <w:rsid w:val="4FA3671F"/>
    <w:rsid w:val="50F62FC3"/>
    <w:rsid w:val="51423C7F"/>
    <w:rsid w:val="52091314"/>
    <w:rsid w:val="520E461F"/>
    <w:rsid w:val="537E301C"/>
    <w:rsid w:val="548F6D53"/>
    <w:rsid w:val="54DE515B"/>
    <w:rsid w:val="55567F4B"/>
    <w:rsid w:val="564D4D79"/>
    <w:rsid w:val="569024C4"/>
    <w:rsid w:val="56F317F3"/>
    <w:rsid w:val="58E2060E"/>
    <w:rsid w:val="5AB664B3"/>
    <w:rsid w:val="5B73704B"/>
    <w:rsid w:val="5BB97766"/>
    <w:rsid w:val="5CB02B9B"/>
    <w:rsid w:val="5DEE02C5"/>
    <w:rsid w:val="5EFD67DC"/>
    <w:rsid w:val="5F1D7313"/>
    <w:rsid w:val="5F3F37BF"/>
    <w:rsid w:val="5F6579BE"/>
    <w:rsid w:val="609073A0"/>
    <w:rsid w:val="60CA3BA9"/>
    <w:rsid w:val="61921FB8"/>
    <w:rsid w:val="61A84D4F"/>
    <w:rsid w:val="63F57A2C"/>
    <w:rsid w:val="6586635D"/>
    <w:rsid w:val="66D82184"/>
    <w:rsid w:val="67617350"/>
    <w:rsid w:val="6BD753F3"/>
    <w:rsid w:val="70426E23"/>
    <w:rsid w:val="704A5EE7"/>
    <w:rsid w:val="72855E77"/>
    <w:rsid w:val="72D0115B"/>
    <w:rsid w:val="732E3EBC"/>
    <w:rsid w:val="73CC2A2F"/>
    <w:rsid w:val="74000C4C"/>
    <w:rsid w:val="751D616B"/>
    <w:rsid w:val="76D16894"/>
    <w:rsid w:val="78557F9E"/>
    <w:rsid w:val="7A4C373B"/>
    <w:rsid w:val="7A646717"/>
    <w:rsid w:val="7B2E58E8"/>
    <w:rsid w:val="7C6E0E35"/>
    <w:rsid w:val="7D6C0195"/>
    <w:rsid w:val="7EF914E1"/>
    <w:rsid w:val="7FDD73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3">
    <w:name w:val="Body Text Indent"/>
    <w:basedOn w:val="1"/>
    <w:qFormat/>
    <w:uiPriority w:val="0"/>
    <w:pPr>
      <w:ind w:firstLine="540" w:firstLineChars="180"/>
    </w:pPr>
    <w:rPr>
      <w:rFonts w:ascii="Times New Roman" w:hAnsi="Times New Roman"/>
      <w:sz w:val="30"/>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page number"/>
    <w:basedOn w:val="8"/>
    <w:qFormat/>
    <w:uiPriority w:val="0"/>
  </w:style>
  <w:style w:type="character" w:styleId="11">
    <w:name w:val="FollowedHyperlink"/>
    <w:basedOn w:val="8"/>
    <w:semiHidden/>
    <w:unhideWhenUsed/>
    <w:qFormat/>
    <w:uiPriority w:val="99"/>
    <w:rPr>
      <w:color w:val="333333"/>
      <w:u w:val="none"/>
    </w:rPr>
  </w:style>
  <w:style w:type="character" w:styleId="12">
    <w:name w:val="Hyperlink"/>
    <w:basedOn w:val="8"/>
    <w:unhideWhenUsed/>
    <w:qFormat/>
    <w:uiPriority w:val="99"/>
    <w:rPr>
      <w:color w:val="0000CC"/>
      <w:u w:val="single"/>
    </w:rPr>
  </w:style>
  <w:style w:type="character" w:customStyle="1" w:styleId="13">
    <w:name w:val="页眉 Char"/>
    <w:basedOn w:val="8"/>
    <w:link w:val="5"/>
    <w:semiHidden/>
    <w:qFormat/>
    <w:uiPriority w:val="99"/>
    <w:rPr>
      <w:sz w:val="18"/>
      <w:szCs w:val="18"/>
    </w:rPr>
  </w:style>
  <w:style w:type="character" w:customStyle="1" w:styleId="14">
    <w:name w:val="页脚 Char"/>
    <w:basedOn w:val="8"/>
    <w:link w:val="4"/>
    <w:semiHidden/>
    <w:qFormat/>
    <w:uiPriority w:val="99"/>
    <w:rPr>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0E7DA3-A3F3-47C9-8FC8-01480FD78A2A}">
  <ds:schemaRefs/>
</ds:datastoreItem>
</file>

<file path=docProps/app.xml><?xml version="1.0" encoding="utf-8"?>
<Properties xmlns="http://schemas.openxmlformats.org/officeDocument/2006/extended-properties" xmlns:vt="http://schemas.openxmlformats.org/officeDocument/2006/docPropsVTypes">
  <Template>Normal</Template>
  <Company>BBS.SUDA123.COM</Company>
  <Pages>14</Pages>
  <Words>1209</Words>
  <Characters>6895</Characters>
  <Lines>57</Lines>
  <Paragraphs>16</Paragraphs>
  <TotalTime>2</TotalTime>
  <ScaleCrop>false</ScaleCrop>
  <LinksUpToDate>false</LinksUpToDate>
  <CharactersWithSpaces>8088</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2019-10-08T07:54:00Z</dcterms:created>
  <dc:creator>SUDA</dc:creator>
  <cp:lastModifiedBy>LY</cp:lastModifiedBy>
  <cp:lastPrinted>2019-09-30T06:17:00Z</cp:lastPrinted>
  <dcterms:modified xsi:type="dcterms:W3CDTF">2019-10-14T08:30:23Z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